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66871" w14:textId="1160203A" w:rsidR="000A2481" w:rsidRPr="00F763C6" w:rsidRDefault="000A2481" w:rsidP="00F763C6">
      <w:pPr>
        <w:pStyle w:val="Heading1"/>
        <w:keepNext w:val="0"/>
        <w:keepLines w:val="0"/>
        <w:spacing w:before="0"/>
        <w:rPr>
          <w:noProof/>
          <w:color w:val="0432FF"/>
          <w:sz w:val="24"/>
          <w:szCs w:val="24"/>
        </w:rPr>
      </w:pPr>
      <w:r w:rsidRPr="00F763C6">
        <w:rPr>
          <w:noProof/>
          <w:color w:val="0432FF"/>
          <w:sz w:val="24"/>
          <w:szCs w:val="24"/>
        </w:rPr>
        <w:t>Lesson Plan</w:t>
      </w:r>
      <w:r w:rsidR="00952E1A">
        <w:rPr>
          <w:noProof/>
          <w:color w:val="0432FF"/>
          <w:sz w:val="24"/>
          <w:szCs w:val="24"/>
        </w:rPr>
        <w:t xml:space="preserve">: </w:t>
      </w:r>
      <w:r w:rsidRPr="00F763C6">
        <w:rPr>
          <w:noProof/>
          <w:color w:val="0432FF"/>
          <w:sz w:val="24"/>
          <w:szCs w:val="24"/>
        </w:rPr>
        <w:t>Developing a Monitoring Plan</w:t>
      </w:r>
      <w:r w:rsidR="00952E1A">
        <w:rPr>
          <w:noProof/>
          <w:color w:val="0432FF"/>
          <w:sz w:val="24"/>
          <w:szCs w:val="24"/>
        </w:rPr>
        <w:t xml:space="preserve"> for an SBC Strategy</w:t>
      </w:r>
    </w:p>
    <w:p w14:paraId="2B28AD72" w14:textId="77777777" w:rsidR="00E56E59" w:rsidRDefault="00E56E59" w:rsidP="000A2481">
      <w:pPr>
        <w:rPr>
          <w:u w:val="single"/>
        </w:rPr>
        <w:sectPr w:rsidR="00E56E59" w:rsidSect="00763C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7BDC0402" w14:textId="6A752566" w:rsidR="00F763C6" w:rsidRDefault="00F763C6" w:rsidP="000A2481">
      <w:pPr>
        <w:rPr>
          <w:u w:val="single"/>
        </w:rPr>
      </w:pPr>
    </w:p>
    <w:p w14:paraId="1BD19144" w14:textId="77777777" w:rsidR="000A2481" w:rsidRPr="008339B8" w:rsidRDefault="000A2481" w:rsidP="000A2481">
      <w:pPr>
        <w:rPr>
          <w:u w:val="single"/>
        </w:rPr>
      </w:pPr>
      <w:r w:rsidRPr="008339B8">
        <w:rPr>
          <w:u w:val="single"/>
        </w:rPr>
        <w:t>Achievement-based learning objectives</w:t>
      </w:r>
    </w:p>
    <w:p w14:paraId="51BEABDA" w14:textId="77777777" w:rsidR="000A2481" w:rsidRDefault="000A2481" w:rsidP="000A2481">
      <w:r>
        <w:t>By the end of this task, participants will have:</w:t>
      </w:r>
    </w:p>
    <w:p w14:paraId="1AD3B558" w14:textId="427E4A42" w:rsidR="000A2481" w:rsidRPr="00B87C61" w:rsidRDefault="000A2481" w:rsidP="000A2481">
      <w:pPr>
        <w:pStyle w:val="ListParagraph"/>
        <w:numPr>
          <w:ilvl w:val="0"/>
          <w:numId w:val="1"/>
        </w:numPr>
        <w:rPr>
          <w:i/>
        </w:rPr>
      </w:pPr>
      <w:r w:rsidRPr="00B87C61">
        <w:rPr>
          <w:i/>
        </w:rPr>
        <w:t xml:space="preserve">reviewed the </w:t>
      </w:r>
      <w:r w:rsidR="00284C77">
        <w:rPr>
          <w:i/>
        </w:rPr>
        <w:t>six</w:t>
      </w:r>
      <w:r w:rsidRPr="00B87C61">
        <w:rPr>
          <w:i/>
        </w:rPr>
        <w:t xml:space="preserve"> main elements of a plan to monitor their SBC strategy;</w:t>
      </w:r>
    </w:p>
    <w:p w14:paraId="46E0C111" w14:textId="77777777" w:rsidR="000A2481" w:rsidRPr="00B87C61" w:rsidRDefault="000A2481" w:rsidP="000A2481">
      <w:pPr>
        <w:pStyle w:val="ListParagraph"/>
        <w:numPr>
          <w:ilvl w:val="0"/>
          <w:numId w:val="1"/>
        </w:numPr>
        <w:rPr>
          <w:i/>
        </w:rPr>
      </w:pPr>
      <w:r w:rsidRPr="00B87C61">
        <w:rPr>
          <w:i/>
        </w:rPr>
        <w:t>reviewed the definitions, guidance, and examples of those five elements;</w:t>
      </w:r>
      <w:r>
        <w:rPr>
          <w:i/>
        </w:rPr>
        <w:t xml:space="preserve"> and</w:t>
      </w:r>
    </w:p>
    <w:p w14:paraId="79EE4E27" w14:textId="77777777" w:rsidR="003C5FD4" w:rsidRDefault="005441FF" w:rsidP="000A2481">
      <w:pPr>
        <w:pStyle w:val="ListParagraph"/>
        <w:numPr>
          <w:ilvl w:val="0"/>
          <w:numId w:val="1"/>
        </w:numPr>
        <w:rPr>
          <w:i/>
        </w:rPr>
      </w:pPr>
      <w:r>
        <w:rPr>
          <w:i/>
        </w:rPr>
        <w:t xml:space="preserve">reviewed illustrative indicators to </w:t>
      </w:r>
      <w:r w:rsidR="000A2481" w:rsidRPr="00B87C61">
        <w:rPr>
          <w:i/>
        </w:rPr>
        <w:t xml:space="preserve">measure each of the five elements for a given </w:t>
      </w:r>
      <w:r w:rsidR="00EF2F63">
        <w:rPr>
          <w:i/>
        </w:rPr>
        <w:t>nutrition</w:t>
      </w:r>
      <w:r w:rsidR="000A2481" w:rsidRPr="00B87C61">
        <w:rPr>
          <w:i/>
        </w:rPr>
        <w:t xml:space="preserve">-sensitive </w:t>
      </w:r>
      <w:r w:rsidR="00EF2F63">
        <w:rPr>
          <w:i/>
        </w:rPr>
        <w:t xml:space="preserve">agriculture </w:t>
      </w:r>
      <w:r w:rsidR="000A2481" w:rsidRPr="00B87C61">
        <w:rPr>
          <w:i/>
        </w:rPr>
        <w:t>practice</w:t>
      </w:r>
      <w:r>
        <w:rPr>
          <w:i/>
        </w:rPr>
        <w:t xml:space="preserve"> being promoted</w:t>
      </w:r>
    </w:p>
    <w:p w14:paraId="375B89AF" w14:textId="45E8199F" w:rsidR="000A2481" w:rsidRPr="00CA13BC" w:rsidRDefault="003C5FD4" w:rsidP="000A2481">
      <w:pPr>
        <w:pStyle w:val="ListParagraph"/>
        <w:numPr>
          <w:ilvl w:val="0"/>
          <w:numId w:val="1"/>
        </w:numPr>
        <w:rPr>
          <w:i/>
        </w:rPr>
      </w:pPr>
      <w:proofErr w:type="gramStart"/>
      <w:r>
        <w:rPr>
          <w:i/>
        </w:rPr>
        <w:t>seen</w:t>
      </w:r>
      <w:proofErr w:type="gramEnd"/>
      <w:r>
        <w:rPr>
          <w:i/>
        </w:rPr>
        <w:t xml:space="preserve"> a matrix to help summarize changes in priority practices and the barriers and enablers for those practices.</w:t>
      </w:r>
    </w:p>
    <w:p w14:paraId="4DBDD69D" w14:textId="77777777" w:rsidR="00D2799B" w:rsidRDefault="00D2799B"/>
    <w:p w14:paraId="756B53A8" w14:textId="37A27FA8" w:rsidR="00222054" w:rsidRDefault="00222054" w:rsidP="00222054">
      <w:r>
        <w:t>Monitoring an SBC strategy involves tracking indicators related to implementation of communication and non-communication SBC activities, including</w:t>
      </w:r>
      <w:r w:rsidR="001D4CD9">
        <w:t xml:space="preserve"> changes in</w:t>
      </w:r>
      <w:r>
        <w:t>:</w:t>
      </w:r>
    </w:p>
    <w:p w14:paraId="317557C2" w14:textId="59E854C1" w:rsidR="00222054" w:rsidRDefault="00A909A8" w:rsidP="00222054">
      <w:pPr>
        <w:pStyle w:val="ListParagraph"/>
        <w:numPr>
          <w:ilvl w:val="0"/>
          <w:numId w:val="2"/>
        </w:numPr>
      </w:pPr>
      <w:r>
        <w:t xml:space="preserve">the </w:t>
      </w:r>
      <w:r w:rsidR="00222054" w:rsidRPr="00A909A8">
        <w:rPr>
          <w:b/>
          <w:i/>
        </w:rPr>
        <w:t>reach</w:t>
      </w:r>
      <w:r>
        <w:t xml:space="preserve"> of your practice promotion efforts</w:t>
      </w:r>
      <w:r w:rsidR="00222054">
        <w:t xml:space="preserve">, </w:t>
      </w:r>
    </w:p>
    <w:p w14:paraId="261DAC73" w14:textId="77777777" w:rsidR="002720D1" w:rsidRDefault="002720D1" w:rsidP="002720D1">
      <w:pPr>
        <w:pStyle w:val="ListParagraph"/>
        <w:numPr>
          <w:ilvl w:val="0"/>
          <w:numId w:val="2"/>
        </w:numPr>
      </w:pPr>
      <w:r>
        <w:t xml:space="preserve">the </w:t>
      </w:r>
      <w:r w:rsidRPr="00B6723D">
        <w:rPr>
          <w:b/>
          <w:i/>
        </w:rPr>
        <w:t>quality of practice promotion</w:t>
      </w:r>
      <w:r>
        <w:t>,</w:t>
      </w:r>
    </w:p>
    <w:p w14:paraId="5902328A" w14:textId="4459C048" w:rsidR="001D4CD9" w:rsidRDefault="001D4CD9" w:rsidP="00222054">
      <w:pPr>
        <w:pStyle w:val="ListParagraph"/>
        <w:numPr>
          <w:ilvl w:val="0"/>
          <w:numId w:val="2"/>
        </w:numPr>
      </w:pPr>
      <w:r>
        <w:t xml:space="preserve">the </w:t>
      </w:r>
      <w:r w:rsidRPr="001D4CD9">
        <w:rPr>
          <w:b/>
          <w:i/>
        </w:rPr>
        <w:t>recall</w:t>
      </w:r>
      <w:r>
        <w:t xml:space="preserve"> of the messages you are using, </w:t>
      </w:r>
    </w:p>
    <w:p w14:paraId="11231432" w14:textId="5BBD5638" w:rsidR="001D4CD9" w:rsidRDefault="001D4CD9" w:rsidP="00222054">
      <w:pPr>
        <w:pStyle w:val="ListParagraph"/>
        <w:numPr>
          <w:ilvl w:val="0"/>
          <w:numId w:val="2"/>
        </w:numPr>
      </w:pPr>
      <w:r>
        <w:t xml:space="preserve">the </w:t>
      </w:r>
      <w:r w:rsidR="00C430A2" w:rsidRPr="00C430A2">
        <w:rPr>
          <w:b/>
          <w:i/>
        </w:rPr>
        <w:t>barriers to and enablers</w:t>
      </w:r>
      <w:r w:rsidR="00C430A2">
        <w:rPr>
          <w:i/>
        </w:rPr>
        <w:t xml:space="preserve"> </w:t>
      </w:r>
      <w:r>
        <w:t xml:space="preserve">of practices, </w:t>
      </w:r>
    </w:p>
    <w:p w14:paraId="2C4A4E3C" w14:textId="49039D2F" w:rsidR="00222054" w:rsidRDefault="00B6723D" w:rsidP="00222054">
      <w:pPr>
        <w:pStyle w:val="ListParagraph"/>
        <w:numPr>
          <w:ilvl w:val="0"/>
          <w:numId w:val="2"/>
        </w:numPr>
      </w:pPr>
      <w:r>
        <w:t>the</w:t>
      </w:r>
      <w:r w:rsidR="00222054">
        <w:t xml:space="preserve"> </w:t>
      </w:r>
      <w:r w:rsidR="00222054" w:rsidRPr="001D4CD9">
        <w:rPr>
          <w:b/>
          <w:i/>
        </w:rPr>
        <w:t>practices</w:t>
      </w:r>
      <w:r w:rsidR="001D4CD9">
        <w:t xml:space="preserve"> you are promoting</w:t>
      </w:r>
      <w:r w:rsidR="00222054">
        <w:t xml:space="preserve">, and </w:t>
      </w:r>
    </w:p>
    <w:p w14:paraId="39A8222C" w14:textId="3FA40C22" w:rsidR="00222054" w:rsidRDefault="001D4CD9" w:rsidP="00222054">
      <w:pPr>
        <w:pStyle w:val="ListParagraph"/>
        <w:numPr>
          <w:ilvl w:val="0"/>
          <w:numId w:val="2"/>
        </w:numPr>
      </w:pPr>
      <w:proofErr w:type="gramStart"/>
      <w:r>
        <w:t>the</w:t>
      </w:r>
      <w:proofErr w:type="gramEnd"/>
      <w:r>
        <w:t xml:space="preserve"> </w:t>
      </w:r>
      <w:r w:rsidR="00596E60" w:rsidRPr="00596E60">
        <w:rPr>
          <w:b/>
          <w:i/>
        </w:rPr>
        <w:t>higher-level</w:t>
      </w:r>
      <w:r w:rsidR="00596E60">
        <w:t xml:space="preserve"> </w:t>
      </w:r>
      <w:r w:rsidRPr="001D4CD9">
        <w:rPr>
          <w:b/>
          <w:i/>
        </w:rPr>
        <w:t>outcomes</w:t>
      </w:r>
      <w:r>
        <w:t xml:space="preserve"> you expect to achieve.</w:t>
      </w:r>
    </w:p>
    <w:p w14:paraId="7D7B3CB6" w14:textId="77777777" w:rsidR="001D4CD9" w:rsidRDefault="001D4CD9" w:rsidP="00222054"/>
    <w:p w14:paraId="0233CBAD" w14:textId="580FB1E5" w:rsidR="00222054" w:rsidRDefault="00222054" w:rsidP="00222054">
      <w:r>
        <w:t xml:space="preserve">For example, rather than just monitoring the number of individuals or groups receiving messages, the monitoring plan would capture whether </w:t>
      </w:r>
      <w:r w:rsidR="00284C77">
        <w:t>your priority group</w:t>
      </w:r>
      <w:r w:rsidR="001D4CD9">
        <w:t xml:space="preserve"> can recall the messages, and whether the constraints </w:t>
      </w:r>
      <w:r>
        <w:t xml:space="preserve">to </w:t>
      </w:r>
      <w:r w:rsidR="001D4CD9">
        <w:t>adoption</w:t>
      </w:r>
      <w:r>
        <w:t xml:space="preserve"> are being reduced, regardless of whether they are beliefs about a certain practice (motivation), </w:t>
      </w:r>
      <w:r w:rsidR="00284C77">
        <w:t xml:space="preserve">the skills needed (capability), </w:t>
      </w:r>
      <w:r>
        <w:t>or access to resources necessary to do the practice (</w:t>
      </w:r>
      <w:r w:rsidR="001D4CD9">
        <w:t>opportunity</w:t>
      </w:r>
      <w:r>
        <w:t xml:space="preserve">). </w:t>
      </w:r>
      <w:r w:rsidR="00284C77">
        <w:t xml:space="preserve"> </w:t>
      </w:r>
      <w:r>
        <w:t xml:space="preserve">As with other project activity monitoring, data gathered through an SBC monitoring plan can be used to document changes, improve activities, and change the focus of the activities as individuals and groups change </w:t>
      </w:r>
      <w:r w:rsidR="00343009">
        <w:t xml:space="preserve">their </w:t>
      </w:r>
      <w:proofErr w:type="gramStart"/>
      <w:r>
        <w:t>practices</w:t>
      </w:r>
      <w:proofErr w:type="gramEnd"/>
      <w:r>
        <w:t xml:space="preserve">. </w:t>
      </w:r>
    </w:p>
    <w:p w14:paraId="447B4F05" w14:textId="77777777" w:rsidR="001D4CD9" w:rsidRDefault="001D4CD9" w:rsidP="00222054"/>
    <w:p w14:paraId="6D288F68" w14:textId="7A4576B2" w:rsidR="00284C77" w:rsidRDefault="00284C77" w:rsidP="00222054">
      <w:r>
        <w:t>Let’s define each of these six things that you should monitor in an SBC monitoring plan.</w:t>
      </w:r>
    </w:p>
    <w:p w14:paraId="4812743A" w14:textId="77777777" w:rsidR="00284C77" w:rsidRDefault="00284C77" w:rsidP="00222054"/>
    <w:p w14:paraId="22DA88C4" w14:textId="565E1815" w:rsidR="00222054" w:rsidRPr="00626DC8" w:rsidRDefault="00626DC8" w:rsidP="00222054">
      <w:pPr>
        <w:rPr>
          <w:b/>
        </w:rPr>
      </w:pPr>
      <w:r w:rsidRPr="00626DC8">
        <w:rPr>
          <w:b/>
        </w:rPr>
        <w:t>Monitoring and evaluation</w:t>
      </w:r>
      <w:r w:rsidR="00222054" w:rsidRPr="00626DC8">
        <w:rPr>
          <w:b/>
        </w:rPr>
        <w:t xml:space="preserve"> of SBC strategies often assess</w:t>
      </w:r>
      <w:r w:rsidR="004F2C04">
        <w:rPr>
          <w:b/>
        </w:rPr>
        <w:t xml:space="preserve"> these SBC elements</w:t>
      </w:r>
      <w:r w:rsidR="00222054" w:rsidRPr="00626DC8">
        <w:rPr>
          <w:b/>
        </w:rPr>
        <w:t>:</w:t>
      </w:r>
    </w:p>
    <w:p w14:paraId="34BD8552" w14:textId="33C3F632" w:rsidR="00222054" w:rsidRPr="00A84F98" w:rsidRDefault="00222054" w:rsidP="008F3928">
      <w:pPr>
        <w:pStyle w:val="ListParagraph"/>
        <w:numPr>
          <w:ilvl w:val="0"/>
          <w:numId w:val="3"/>
        </w:numPr>
        <w:spacing w:after="80"/>
        <w:contextualSpacing w:val="0"/>
        <w:rPr>
          <w:i/>
          <w:sz w:val="24"/>
        </w:rPr>
      </w:pPr>
      <w:r w:rsidRPr="007C4908">
        <w:rPr>
          <w:b/>
          <w:sz w:val="24"/>
        </w:rPr>
        <w:t>Reach</w:t>
      </w:r>
      <w:r w:rsidRPr="007C4908">
        <w:rPr>
          <w:sz w:val="24"/>
        </w:rPr>
        <w:t xml:space="preserve">:  This includes if </w:t>
      </w:r>
      <w:r w:rsidR="008F3928">
        <w:rPr>
          <w:sz w:val="24"/>
        </w:rPr>
        <w:t xml:space="preserve">members of your priority group or influencing group </w:t>
      </w:r>
      <w:r w:rsidRPr="007C4908">
        <w:rPr>
          <w:sz w:val="24"/>
        </w:rPr>
        <w:t>had contact with the person who promotes project messages, whether they heard mass media messages, whether they saw printed materials (e.g., brochure, billboard),</w:t>
      </w:r>
      <w:r w:rsidR="00284C77">
        <w:rPr>
          <w:sz w:val="24"/>
        </w:rPr>
        <w:t xml:space="preserve"> etc.,</w:t>
      </w:r>
      <w:r w:rsidRPr="007C4908">
        <w:rPr>
          <w:sz w:val="24"/>
        </w:rPr>
        <w:t xml:space="preserve"> </w:t>
      </w:r>
      <w:r w:rsidR="00284C77" w:rsidRPr="007C4908">
        <w:rPr>
          <w:sz w:val="24"/>
        </w:rPr>
        <w:t>during a given short timeframe</w:t>
      </w:r>
      <w:r w:rsidR="00284C77">
        <w:rPr>
          <w:sz w:val="24"/>
        </w:rPr>
        <w:t>.  Given that people are not as accurate about remembering things the more time that has passed, it’s best to keep the recall period for measuring these sorts of things short – for example, in the past two weeks</w:t>
      </w:r>
      <w:r w:rsidR="00B6169E">
        <w:rPr>
          <w:sz w:val="24"/>
        </w:rPr>
        <w:t>.  For events that are more memorable (e.g., “did you install a new latrine in the past year?”), longer recall periods are more acceptable</w:t>
      </w:r>
      <w:r w:rsidR="00284C77">
        <w:rPr>
          <w:sz w:val="24"/>
        </w:rPr>
        <w:t>.</w:t>
      </w:r>
      <w:r w:rsidR="00157EE6" w:rsidRPr="007C4908">
        <w:rPr>
          <w:sz w:val="24"/>
        </w:rPr>
        <w:t xml:space="preserve">  </w:t>
      </w:r>
      <w:r w:rsidR="00284C77" w:rsidRPr="008F3928">
        <w:rPr>
          <w:sz w:val="24"/>
        </w:rPr>
        <w:t xml:space="preserve">An </w:t>
      </w:r>
      <w:r w:rsidR="008F3928" w:rsidRPr="008F3928">
        <w:rPr>
          <w:b/>
          <w:sz w:val="24"/>
        </w:rPr>
        <w:t>e</w:t>
      </w:r>
      <w:r w:rsidR="00157EE6" w:rsidRPr="008F3928">
        <w:rPr>
          <w:b/>
          <w:sz w:val="24"/>
        </w:rPr>
        <w:t>xample</w:t>
      </w:r>
      <w:r w:rsidR="008F3928" w:rsidRPr="008F3928">
        <w:rPr>
          <w:sz w:val="24"/>
        </w:rPr>
        <w:t xml:space="preserve"> of measuring </w:t>
      </w:r>
      <w:r w:rsidR="008F3928" w:rsidRPr="008F3928">
        <w:rPr>
          <w:sz w:val="24"/>
          <w:u w:val="single"/>
        </w:rPr>
        <w:t>reach</w:t>
      </w:r>
      <w:r w:rsidR="008F3928" w:rsidRPr="008F3928">
        <w:rPr>
          <w:sz w:val="24"/>
        </w:rPr>
        <w:t xml:space="preserve"> would be measuring </w:t>
      </w:r>
      <w:r w:rsidR="008F3928" w:rsidRPr="008F3928">
        <w:rPr>
          <w:i/>
          <w:sz w:val="24"/>
        </w:rPr>
        <w:t>the</w:t>
      </w:r>
      <w:r w:rsidR="00157EE6" w:rsidRPr="008F3928">
        <w:rPr>
          <w:i/>
          <w:sz w:val="24"/>
        </w:rPr>
        <w:t xml:space="preserve"> proportion of female rice farmers </w:t>
      </w:r>
      <w:r w:rsidR="008F3928" w:rsidRPr="008F3928">
        <w:rPr>
          <w:i/>
          <w:sz w:val="24"/>
        </w:rPr>
        <w:t xml:space="preserve">who </w:t>
      </w:r>
      <w:r w:rsidR="00454E8B">
        <w:rPr>
          <w:i/>
          <w:sz w:val="24"/>
        </w:rPr>
        <w:t xml:space="preserve">say that they </w:t>
      </w:r>
      <w:r w:rsidR="00157EE6" w:rsidRPr="008F3928">
        <w:rPr>
          <w:i/>
          <w:sz w:val="24"/>
        </w:rPr>
        <w:t xml:space="preserve">attended an educational session on new rice </w:t>
      </w:r>
      <w:r w:rsidR="008F3928" w:rsidRPr="008F3928">
        <w:rPr>
          <w:i/>
          <w:sz w:val="24"/>
        </w:rPr>
        <w:t>varieties in the past two weeks</w:t>
      </w:r>
      <w:r w:rsidR="008F3928" w:rsidRPr="008F3928">
        <w:rPr>
          <w:sz w:val="24"/>
        </w:rPr>
        <w:t xml:space="preserve">. Or </w:t>
      </w:r>
      <w:r w:rsidR="008F3928" w:rsidRPr="008F3928">
        <w:rPr>
          <w:i/>
          <w:sz w:val="24"/>
        </w:rPr>
        <w:t xml:space="preserve">measuring the </w:t>
      </w:r>
      <w:r w:rsidR="00FC4CF7" w:rsidRPr="008F3928">
        <w:rPr>
          <w:i/>
          <w:sz w:val="24"/>
        </w:rPr>
        <w:t xml:space="preserve">proportion of sweet potato farmers </w:t>
      </w:r>
      <w:r w:rsidR="008F3928" w:rsidRPr="008F3928">
        <w:rPr>
          <w:i/>
          <w:sz w:val="24"/>
        </w:rPr>
        <w:t xml:space="preserve">who </w:t>
      </w:r>
      <w:r w:rsidR="00454E8B">
        <w:rPr>
          <w:i/>
          <w:sz w:val="24"/>
        </w:rPr>
        <w:t xml:space="preserve">say that they </w:t>
      </w:r>
      <w:r w:rsidR="00FC4CF7" w:rsidRPr="008F3928">
        <w:rPr>
          <w:i/>
          <w:sz w:val="24"/>
        </w:rPr>
        <w:t>heard radio spots on the advantages of planting orange-fleshed sweet potato</w:t>
      </w:r>
      <w:r w:rsidR="008F3928" w:rsidRPr="008F3928">
        <w:rPr>
          <w:i/>
          <w:sz w:val="24"/>
        </w:rPr>
        <w:t xml:space="preserve"> in the past two weeks</w:t>
      </w:r>
      <w:r w:rsidR="008F3928" w:rsidRPr="008F3928">
        <w:rPr>
          <w:sz w:val="24"/>
        </w:rPr>
        <w:t>.</w:t>
      </w:r>
      <w:r w:rsidR="00454E8B">
        <w:rPr>
          <w:sz w:val="24"/>
        </w:rPr>
        <w:t xml:space="preserve">  In general, it is best to measure this by surveying people in your priority group</w:t>
      </w:r>
      <w:r w:rsidR="00872DDC">
        <w:rPr>
          <w:sz w:val="24"/>
        </w:rPr>
        <w:t xml:space="preserve">.  </w:t>
      </w:r>
      <w:r w:rsidR="00872DDC">
        <w:rPr>
          <w:sz w:val="24"/>
        </w:rPr>
        <w:lastRenderedPageBreak/>
        <w:t>This is also one of the few ways that can be done when using mass media</w:t>
      </w:r>
      <w:r w:rsidR="00454E8B">
        <w:rPr>
          <w:sz w:val="24"/>
        </w:rPr>
        <w:t xml:space="preserve">.  When this is not possible, </w:t>
      </w:r>
      <w:r w:rsidR="00872DDC">
        <w:rPr>
          <w:sz w:val="24"/>
        </w:rPr>
        <w:t xml:space="preserve">and you are promoting practices through face-to-face contact, </w:t>
      </w:r>
      <w:r w:rsidR="00454E8B">
        <w:rPr>
          <w:sz w:val="24"/>
        </w:rPr>
        <w:t xml:space="preserve">you can look at project monitoring data, such as attendance records kept by project workers. </w:t>
      </w:r>
    </w:p>
    <w:p w14:paraId="56A2AB07" w14:textId="77777777" w:rsidR="002720D1" w:rsidRPr="00E1660B" w:rsidRDefault="002720D1" w:rsidP="002720D1">
      <w:pPr>
        <w:pStyle w:val="ListParagraph"/>
        <w:numPr>
          <w:ilvl w:val="0"/>
          <w:numId w:val="3"/>
        </w:numPr>
        <w:spacing w:after="60"/>
        <w:contextualSpacing w:val="0"/>
        <w:rPr>
          <w:sz w:val="24"/>
        </w:rPr>
      </w:pPr>
      <w:r>
        <w:rPr>
          <w:b/>
          <w:sz w:val="24"/>
        </w:rPr>
        <w:t xml:space="preserve">Quality of practice promotion:  </w:t>
      </w:r>
      <w:r w:rsidRPr="00E1660B">
        <w:rPr>
          <w:sz w:val="24"/>
        </w:rPr>
        <w:t xml:space="preserve">You should also </w:t>
      </w:r>
      <w:r>
        <w:rPr>
          <w:sz w:val="24"/>
        </w:rPr>
        <w:t xml:space="preserve">measure the quality of the promotion of the practices that are being promoted in your project.  Using checklists while observing development workers promoting a practice is one way to do this.  For example, if development workers are promoting a practice in a small group setting, you could use the Food Security &amp; Nutrition Network’s Quality Improvement &amp; Verification Checklist for practice promotion which is available </w:t>
      </w:r>
      <w:hyperlink r:id="rId15" w:history="1">
        <w:r w:rsidRPr="00E1660B">
          <w:rPr>
            <w:rStyle w:val="Hyperlink"/>
            <w:sz w:val="24"/>
          </w:rPr>
          <w:t>here</w:t>
        </w:r>
      </w:hyperlink>
      <w:r>
        <w:rPr>
          <w:sz w:val="24"/>
        </w:rPr>
        <w:t xml:space="preserve">.  </w:t>
      </w:r>
    </w:p>
    <w:p w14:paraId="65B06484" w14:textId="7A0D61ED" w:rsidR="00222054" w:rsidRPr="005F04ED" w:rsidRDefault="00222054" w:rsidP="008F3928">
      <w:pPr>
        <w:pStyle w:val="ListParagraph"/>
        <w:numPr>
          <w:ilvl w:val="0"/>
          <w:numId w:val="3"/>
        </w:numPr>
        <w:spacing w:after="80"/>
        <w:contextualSpacing w:val="0"/>
        <w:rPr>
          <w:sz w:val="24"/>
        </w:rPr>
      </w:pPr>
      <w:r w:rsidRPr="007C4908">
        <w:rPr>
          <w:b/>
          <w:sz w:val="24"/>
        </w:rPr>
        <w:t>Recall</w:t>
      </w:r>
      <w:r w:rsidR="00ED0786">
        <w:rPr>
          <w:b/>
          <w:sz w:val="24"/>
        </w:rPr>
        <w:t xml:space="preserve"> of messages</w:t>
      </w:r>
      <w:r w:rsidRPr="007C4908">
        <w:rPr>
          <w:sz w:val="24"/>
        </w:rPr>
        <w:t xml:space="preserve">: </w:t>
      </w:r>
      <w:r w:rsidR="00157EE6" w:rsidRPr="007C4908">
        <w:rPr>
          <w:sz w:val="24"/>
        </w:rPr>
        <w:t xml:space="preserve">This </w:t>
      </w:r>
      <w:r w:rsidR="008F3928">
        <w:rPr>
          <w:sz w:val="24"/>
        </w:rPr>
        <w:t>is</w:t>
      </w:r>
      <w:r w:rsidR="00157EE6" w:rsidRPr="007C4908">
        <w:rPr>
          <w:sz w:val="24"/>
        </w:rPr>
        <w:t xml:space="preserve"> the </w:t>
      </w:r>
      <w:r w:rsidR="000E6200" w:rsidRPr="007C4908">
        <w:rPr>
          <w:sz w:val="24"/>
        </w:rPr>
        <w:t xml:space="preserve">proportion of the people in your </w:t>
      </w:r>
      <w:r w:rsidR="008F3928">
        <w:rPr>
          <w:sz w:val="24"/>
        </w:rPr>
        <w:t>priority or influencing group</w:t>
      </w:r>
      <w:r w:rsidR="000E6200" w:rsidRPr="007C4908">
        <w:rPr>
          <w:sz w:val="24"/>
        </w:rPr>
        <w:t xml:space="preserve"> </w:t>
      </w:r>
      <w:r w:rsidR="008F3928">
        <w:rPr>
          <w:sz w:val="24"/>
        </w:rPr>
        <w:t xml:space="preserve">who </w:t>
      </w:r>
      <w:r w:rsidR="000E6200" w:rsidRPr="007C4908">
        <w:rPr>
          <w:sz w:val="24"/>
        </w:rPr>
        <w:t xml:space="preserve">are able to </w:t>
      </w:r>
      <w:r w:rsidR="008F3928" w:rsidRPr="00C210C2">
        <w:rPr>
          <w:sz w:val="24"/>
          <w:u w:val="single"/>
        </w:rPr>
        <w:t>accurately</w:t>
      </w:r>
      <w:r w:rsidR="008F3928">
        <w:rPr>
          <w:sz w:val="24"/>
        </w:rPr>
        <w:t xml:space="preserve"> </w:t>
      </w:r>
      <w:r w:rsidR="000E6200" w:rsidRPr="007C4908">
        <w:rPr>
          <w:sz w:val="24"/>
        </w:rPr>
        <w:t xml:space="preserve">recall </w:t>
      </w:r>
      <w:r w:rsidR="00A84F98">
        <w:rPr>
          <w:sz w:val="24"/>
        </w:rPr>
        <w:t xml:space="preserve">(repeat back) </w:t>
      </w:r>
      <w:r w:rsidR="000E6200" w:rsidRPr="007C4908">
        <w:rPr>
          <w:sz w:val="24"/>
        </w:rPr>
        <w:t>the key messages that the project is promoting.  While few projects monitor this, questions to measure this can be added to periodic (e.g., annual) surveys</w:t>
      </w:r>
      <w:r w:rsidR="00FC4CF7" w:rsidRPr="007C4908">
        <w:rPr>
          <w:sz w:val="24"/>
        </w:rPr>
        <w:t xml:space="preserve">.   </w:t>
      </w:r>
      <w:r w:rsidR="008F3928">
        <w:rPr>
          <w:sz w:val="24"/>
        </w:rPr>
        <w:t xml:space="preserve">For example, you could measure the </w:t>
      </w:r>
      <w:r w:rsidR="00FC4CF7" w:rsidRPr="00A84F98">
        <w:rPr>
          <w:i/>
          <w:sz w:val="24"/>
        </w:rPr>
        <w:t xml:space="preserve">proportion of coffee growers </w:t>
      </w:r>
      <w:r w:rsidR="008F3928">
        <w:rPr>
          <w:i/>
          <w:sz w:val="24"/>
        </w:rPr>
        <w:t xml:space="preserve">who </w:t>
      </w:r>
      <w:r w:rsidR="00FC4CF7" w:rsidRPr="00A84F98">
        <w:rPr>
          <w:i/>
          <w:sz w:val="24"/>
        </w:rPr>
        <w:t xml:space="preserve">say that they heard the organizations’ radio spots </w:t>
      </w:r>
      <w:r w:rsidR="00FC4CF7" w:rsidRPr="00A84F98">
        <w:rPr>
          <w:i/>
          <w:sz w:val="24"/>
          <w:u w:val="single"/>
        </w:rPr>
        <w:t>and</w:t>
      </w:r>
      <w:r w:rsidR="00FC4CF7" w:rsidRPr="00A84F98">
        <w:rPr>
          <w:i/>
          <w:sz w:val="24"/>
        </w:rPr>
        <w:t xml:space="preserve"> can name three of the four advantages of collective ma</w:t>
      </w:r>
      <w:r w:rsidR="008F3928">
        <w:rPr>
          <w:i/>
          <w:sz w:val="24"/>
        </w:rPr>
        <w:t>rketing promoted by the project.</w:t>
      </w:r>
      <w:r w:rsidR="005F04ED">
        <w:rPr>
          <w:i/>
          <w:sz w:val="24"/>
        </w:rPr>
        <w:t xml:space="preserve">  </w:t>
      </w:r>
      <w:r w:rsidR="005F04ED" w:rsidRPr="005F04ED">
        <w:rPr>
          <w:sz w:val="24"/>
        </w:rPr>
        <w:t xml:space="preserve">Like reach, </w:t>
      </w:r>
      <w:r w:rsidR="005F04ED">
        <w:rPr>
          <w:sz w:val="24"/>
        </w:rPr>
        <w:t>you should only ask people to recall an event that would have happened or a message they would have heard in the recent past.</w:t>
      </w:r>
      <w:r w:rsidR="00C210C2">
        <w:rPr>
          <w:sz w:val="24"/>
        </w:rPr>
        <w:t xml:space="preserve">  </w:t>
      </w:r>
      <w:r w:rsidR="00C95E8D">
        <w:rPr>
          <w:sz w:val="24"/>
        </w:rPr>
        <w:t xml:space="preserve">You can also ask questions to see </w:t>
      </w:r>
      <w:r w:rsidR="00807496">
        <w:rPr>
          <w:sz w:val="24"/>
        </w:rPr>
        <w:t xml:space="preserve">(1) </w:t>
      </w:r>
      <w:r w:rsidR="00C95E8D">
        <w:rPr>
          <w:sz w:val="24"/>
        </w:rPr>
        <w:t>whether people understand the message</w:t>
      </w:r>
      <w:r w:rsidR="00807496">
        <w:rPr>
          <w:sz w:val="24"/>
        </w:rPr>
        <w:t xml:space="preserve">, (2) from </w:t>
      </w:r>
      <w:proofErr w:type="gramStart"/>
      <w:r w:rsidR="00807496">
        <w:rPr>
          <w:sz w:val="24"/>
        </w:rPr>
        <w:t>whom</w:t>
      </w:r>
      <w:proofErr w:type="gramEnd"/>
      <w:r w:rsidR="00807496">
        <w:rPr>
          <w:sz w:val="24"/>
        </w:rPr>
        <w:t xml:space="preserve"> they heard the message, and (3) </w:t>
      </w:r>
      <w:r w:rsidR="00C95E8D">
        <w:rPr>
          <w:sz w:val="24"/>
        </w:rPr>
        <w:t xml:space="preserve">whether they shared it with others.  </w:t>
      </w:r>
      <w:r w:rsidR="00C210C2">
        <w:rPr>
          <w:sz w:val="24"/>
        </w:rPr>
        <w:t xml:space="preserve">When you find that people have heard a message, but cannot recall it accurately, you may need to </w:t>
      </w:r>
      <w:proofErr w:type="gramStart"/>
      <w:r w:rsidR="00C210C2">
        <w:rPr>
          <w:sz w:val="24"/>
        </w:rPr>
        <w:t>either shorten</w:t>
      </w:r>
      <w:proofErr w:type="gramEnd"/>
      <w:r w:rsidR="00C210C2">
        <w:rPr>
          <w:sz w:val="24"/>
        </w:rPr>
        <w:t xml:space="preserve"> the message, simplify it, or make it more memorable (“sticky”).  There are entire books written on how to make messages more memorable, such as </w:t>
      </w:r>
      <w:hyperlink r:id="rId16" w:history="1">
        <w:r w:rsidR="00C210C2" w:rsidRPr="00C210C2">
          <w:rPr>
            <w:rStyle w:val="Hyperlink"/>
            <w:sz w:val="24"/>
          </w:rPr>
          <w:t xml:space="preserve">Made to </w:t>
        </w:r>
        <w:proofErr w:type="gramStart"/>
        <w:r w:rsidR="00C210C2" w:rsidRPr="00C210C2">
          <w:rPr>
            <w:rStyle w:val="Hyperlink"/>
            <w:sz w:val="24"/>
          </w:rPr>
          <w:t>Stick</w:t>
        </w:r>
        <w:proofErr w:type="gramEnd"/>
      </w:hyperlink>
      <w:r w:rsidR="00C210C2">
        <w:rPr>
          <w:sz w:val="24"/>
        </w:rPr>
        <w:t xml:space="preserve"> by the Heath brothers.   </w:t>
      </w:r>
    </w:p>
    <w:p w14:paraId="3B0D11F7" w14:textId="5A4FFF64" w:rsidR="00222054" w:rsidRDefault="00157EE6" w:rsidP="00E1660B">
      <w:pPr>
        <w:pStyle w:val="ListParagraph"/>
        <w:numPr>
          <w:ilvl w:val="0"/>
          <w:numId w:val="3"/>
        </w:numPr>
        <w:spacing w:after="80"/>
        <w:contextualSpacing w:val="0"/>
        <w:rPr>
          <w:sz w:val="24"/>
        </w:rPr>
      </w:pPr>
      <w:r w:rsidRPr="007C4908">
        <w:rPr>
          <w:b/>
          <w:sz w:val="24"/>
        </w:rPr>
        <w:t>Constraints &amp; Facilitators (a.k.a., b</w:t>
      </w:r>
      <w:r w:rsidR="00222054" w:rsidRPr="007C4908">
        <w:rPr>
          <w:b/>
          <w:sz w:val="24"/>
        </w:rPr>
        <w:t>arriers and enablers</w:t>
      </w:r>
      <w:r w:rsidRPr="007C4908">
        <w:rPr>
          <w:b/>
          <w:sz w:val="24"/>
        </w:rPr>
        <w:t>)</w:t>
      </w:r>
      <w:r w:rsidR="00ED0786">
        <w:rPr>
          <w:b/>
          <w:sz w:val="24"/>
        </w:rPr>
        <w:t xml:space="preserve"> of practices</w:t>
      </w:r>
      <w:r w:rsidR="00222054" w:rsidRPr="007C4908">
        <w:rPr>
          <w:sz w:val="24"/>
        </w:rPr>
        <w:t xml:space="preserve">: </w:t>
      </w:r>
      <w:r w:rsidR="008F3928">
        <w:rPr>
          <w:sz w:val="24"/>
        </w:rPr>
        <w:t xml:space="preserve"> After conducting f</w:t>
      </w:r>
      <w:r w:rsidR="00222054" w:rsidRPr="007C4908">
        <w:rPr>
          <w:sz w:val="24"/>
        </w:rPr>
        <w:t xml:space="preserve">ormative research to identify </w:t>
      </w:r>
      <w:r w:rsidRPr="007C4908">
        <w:rPr>
          <w:sz w:val="24"/>
        </w:rPr>
        <w:t>constraints and facilitators</w:t>
      </w:r>
      <w:r w:rsidR="00222054" w:rsidRPr="007C4908">
        <w:rPr>
          <w:sz w:val="24"/>
        </w:rPr>
        <w:t xml:space="preserve"> of key practices promoted during </w:t>
      </w:r>
      <w:r w:rsidR="008F3928">
        <w:rPr>
          <w:sz w:val="24"/>
        </w:rPr>
        <w:t xml:space="preserve">a project, surveys </w:t>
      </w:r>
      <w:r w:rsidR="00222054" w:rsidRPr="007C4908">
        <w:rPr>
          <w:sz w:val="24"/>
        </w:rPr>
        <w:t xml:space="preserve">can then be used to monitor whether there are changes in </w:t>
      </w:r>
      <w:r w:rsidR="00A84F98">
        <w:rPr>
          <w:sz w:val="24"/>
        </w:rPr>
        <w:t xml:space="preserve">the proportion of people who mention each of the most important </w:t>
      </w:r>
      <w:r w:rsidRPr="007C4908">
        <w:rPr>
          <w:sz w:val="24"/>
        </w:rPr>
        <w:t>constraints and facilitators</w:t>
      </w:r>
      <w:r w:rsidR="00A84F98">
        <w:rPr>
          <w:sz w:val="24"/>
        </w:rPr>
        <w:t xml:space="preserve"> of a behavior.  </w:t>
      </w:r>
      <w:r w:rsidR="008F3928">
        <w:rPr>
          <w:sz w:val="24"/>
        </w:rPr>
        <w:t>For example, a</w:t>
      </w:r>
      <w:r w:rsidR="00222054" w:rsidRPr="007C4908">
        <w:rPr>
          <w:sz w:val="24"/>
        </w:rPr>
        <w:t xml:space="preserve"> project may find </w:t>
      </w:r>
      <w:r w:rsidR="00A84F98">
        <w:rPr>
          <w:sz w:val="24"/>
        </w:rPr>
        <w:t xml:space="preserve">through </w:t>
      </w:r>
      <w:r w:rsidR="008F3928">
        <w:rPr>
          <w:sz w:val="24"/>
        </w:rPr>
        <w:t xml:space="preserve">a </w:t>
      </w:r>
      <w:r w:rsidR="00A84F98">
        <w:rPr>
          <w:sz w:val="24"/>
        </w:rPr>
        <w:t xml:space="preserve">Barrier Analysis </w:t>
      </w:r>
      <w:r w:rsidR="008F3928">
        <w:rPr>
          <w:sz w:val="24"/>
        </w:rPr>
        <w:t xml:space="preserve">study </w:t>
      </w:r>
      <w:r w:rsidR="00222054" w:rsidRPr="007C4908">
        <w:rPr>
          <w:sz w:val="24"/>
        </w:rPr>
        <w:t>that</w:t>
      </w:r>
      <w:r w:rsidR="008F3928">
        <w:rPr>
          <w:sz w:val="24"/>
        </w:rPr>
        <w:t xml:space="preserve"> Non-doers say that</w:t>
      </w:r>
      <w:r w:rsidR="00222054" w:rsidRPr="007C4908">
        <w:rPr>
          <w:sz w:val="24"/>
        </w:rPr>
        <w:t xml:space="preserve"> </w:t>
      </w:r>
      <w:proofErr w:type="spellStart"/>
      <w:r w:rsidR="00222054" w:rsidRPr="00C53987">
        <w:rPr>
          <w:sz w:val="24"/>
          <w:u w:val="single"/>
        </w:rPr>
        <w:t>father-in-laws</w:t>
      </w:r>
      <w:proofErr w:type="spellEnd"/>
      <w:r w:rsidR="00222054" w:rsidRPr="00C53987">
        <w:rPr>
          <w:sz w:val="24"/>
          <w:u w:val="single"/>
        </w:rPr>
        <w:t xml:space="preserve"> </w:t>
      </w:r>
      <w:r w:rsidR="00C53987" w:rsidRPr="00C53987">
        <w:rPr>
          <w:sz w:val="24"/>
          <w:u w:val="single"/>
        </w:rPr>
        <w:t>and other older farmers</w:t>
      </w:r>
      <w:r w:rsidR="00C53987">
        <w:rPr>
          <w:sz w:val="24"/>
        </w:rPr>
        <w:t xml:space="preserve"> </w:t>
      </w:r>
      <w:r w:rsidR="00222054" w:rsidRPr="007C4908">
        <w:rPr>
          <w:sz w:val="24"/>
        </w:rPr>
        <w:t xml:space="preserve">do not approve of </w:t>
      </w:r>
      <w:r w:rsidR="00DA56D5">
        <w:rPr>
          <w:sz w:val="24"/>
        </w:rPr>
        <w:t xml:space="preserve">vaccinating chickens against Newcastle Disease </w:t>
      </w:r>
      <w:r w:rsidR="00C53987">
        <w:rPr>
          <w:sz w:val="24"/>
        </w:rPr>
        <w:t>(feeling it is a waste of time)</w:t>
      </w:r>
      <w:r w:rsidR="00EA5790">
        <w:rPr>
          <w:sz w:val="24"/>
        </w:rPr>
        <w:t xml:space="preserve"> more so than Doers.  T</w:t>
      </w:r>
      <w:r w:rsidR="00C53987">
        <w:rPr>
          <w:sz w:val="24"/>
        </w:rPr>
        <w:t xml:space="preserve">hese older farmers </w:t>
      </w:r>
      <w:r w:rsidR="00EA5790">
        <w:rPr>
          <w:sz w:val="24"/>
        </w:rPr>
        <w:t xml:space="preserve">are </w:t>
      </w:r>
      <w:r w:rsidR="00C53987">
        <w:rPr>
          <w:sz w:val="24"/>
        </w:rPr>
        <w:t>exert</w:t>
      </w:r>
      <w:r w:rsidR="00EA5790">
        <w:rPr>
          <w:sz w:val="24"/>
        </w:rPr>
        <w:t>ing</w:t>
      </w:r>
      <w:r w:rsidR="00C53987">
        <w:rPr>
          <w:sz w:val="24"/>
        </w:rPr>
        <w:t xml:space="preserve"> a significant influence on farmers’ adoption of the practice. </w:t>
      </w:r>
      <w:r w:rsidR="00EA5790">
        <w:rPr>
          <w:sz w:val="24"/>
        </w:rPr>
        <w:t xml:space="preserve"> After working with the older farmers and convincing them of why chickens need the vaccination, t</w:t>
      </w:r>
      <w:r w:rsidR="00222054" w:rsidRPr="007C4908">
        <w:rPr>
          <w:sz w:val="24"/>
        </w:rPr>
        <w:t xml:space="preserve">he project could </w:t>
      </w:r>
      <w:r w:rsidR="00EA5790">
        <w:rPr>
          <w:sz w:val="24"/>
        </w:rPr>
        <w:t xml:space="preserve">survey </w:t>
      </w:r>
      <w:r w:rsidR="00222054" w:rsidRPr="007C4908">
        <w:rPr>
          <w:sz w:val="24"/>
        </w:rPr>
        <w:t xml:space="preserve">of </w:t>
      </w:r>
      <w:proofErr w:type="spellStart"/>
      <w:r w:rsidR="00222054" w:rsidRPr="007C4908">
        <w:rPr>
          <w:sz w:val="24"/>
        </w:rPr>
        <w:t>father-in-laws</w:t>
      </w:r>
      <w:proofErr w:type="spellEnd"/>
      <w:r w:rsidR="00222054" w:rsidRPr="007C4908">
        <w:rPr>
          <w:sz w:val="24"/>
        </w:rPr>
        <w:t xml:space="preserve"> </w:t>
      </w:r>
      <w:r w:rsidR="00EA5790">
        <w:rPr>
          <w:sz w:val="24"/>
        </w:rPr>
        <w:t>(</w:t>
      </w:r>
      <w:r w:rsidR="00222054" w:rsidRPr="007C4908">
        <w:rPr>
          <w:sz w:val="24"/>
        </w:rPr>
        <w:t xml:space="preserve">during </w:t>
      </w:r>
      <w:r w:rsidR="00EA5790">
        <w:rPr>
          <w:sz w:val="24"/>
        </w:rPr>
        <w:t xml:space="preserve">an </w:t>
      </w:r>
      <w:r w:rsidR="00892711">
        <w:rPr>
          <w:sz w:val="24"/>
        </w:rPr>
        <w:t xml:space="preserve">annual </w:t>
      </w:r>
      <w:r w:rsidR="00EA5790">
        <w:rPr>
          <w:sz w:val="24"/>
        </w:rPr>
        <w:t>survey)</w:t>
      </w:r>
      <w:r w:rsidR="00222054" w:rsidRPr="007C4908">
        <w:rPr>
          <w:sz w:val="24"/>
        </w:rPr>
        <w:t xml:space="preserve"> to </w:t>
      </w:r>
      <w:r w:rsidR="00EA5790">
        <w:rPr>
          <w:sz w:val="24"/>
        </w:rPr>
        <w:t>determine</w:t>
      </w:r>
      <w:r w:rsidR="00222054" w:rsidRPr="00AF5214">
        <w:rPr>
          <w:i/>
          <w:sz w:val="24"/>
        </w:rPr>
        <w:t xml:space="preserve"> the proportion </w:t>
      </w:r>
      <w:r w:rsidR="00AF5214">
        <w:rPr>
          <w:i/>
          <w:sz w:val="24"/>
        </w:rPr>
        <w:t xml:space="preserve">of older farmers </w:t>
      </w:r>
      <w:r w:rsidR="00222054" w:rsidRPr="00AF5214">
        <w:rPr>
          <w:i/>
          <w:sz w:val="24"/>
        </w:rPr>
        <w:t>who approve</w:t>
      </w:r>
      <w:r w:rsidR="00C53987" w:rsidRPr="00AF5214">
        <w:rPr>
          <w:i/>
          <w:sz w:val="24"/>
        </w:rPr>
        <w:t xml:space="preserve"> of </w:t>
      </w:r>
      <w:r w:rsidR="00DA56D5" w:rsidRPr="00AF5214">
        <w:rPr>
          <w:i/>
          <w:sz w:val="24"/>
        </w:rPr>
        <w:t>vaccination of chickens</w:t>
      </w:r>
      <w:r w:rsidR="00222054" w:rsidRPr="007C4908">
        <w:rPr>
          <w:sz w:val="24"/>
        </w:rPr>
        <w:t xml:space="preserve">.  </w:t>
      </w:r>
      <w:r w:rsidR="00EA5790">
        <w:rPr>
          <w:sz w:val="24"/>
        </w:rPr>
        <w:t>Over time, you would want to see this increase.  Another example:  I</w:t>
      </w:r>
      <w:r w:rsidR="00222054" w:rsidRPr="007C4908">
        <w:rPr>
          <w:sz w:val="24"/>
        </w:rPr>
        <w:t xml:space="preserve">f the cost of </w:t>
      </w:r>
      <w:r w:rsidR="00EA5790">
        <w:rPr>
          <w:sz w:val="24"/>
        </w:rPr>
        <w:t>fertilizer</w:t>
      </w:r>
      <w:r w:rsidR="00222054" w:rsidRPr="007C4908">
        <w:rPr>
          <w:sz w:val="24"/>
        </w:rPr>
        <w:t xml:space="preserve"> is </w:t>
      </w:r>
      <w:r w:rsidR="00892711">
        <w:rPr>
          <w:sz w:val="24"/>
        </w:rPr>
        <w:t>found to be a</w:t>
      </w:r>
      <w:r w:rsidR="00222054" w:rsidRPr="007C4908">
        <w:rPr>
          <w:sz w:val="24"/>
        </w:rPr>
        <w:t xml:space="preserve"> </w:t>
      </w:r>
      <w:r w:rsidRPr="007C4908">
        <w:rPr>
          <w:sz w:val="24"/>
        </w:rPr>
        <w:t>constraint</w:t>
      </w:r>
      <w:r w:rsidR="00892711">
        <w:rPr>
          <w:sz w:val="24"/>
        </w:rPr>
        <w:t xml:space="preserve"> to</w:t>
      </w:r>
      <w:r w:rsidR="00222054" w:rsidRPr="007C4908">
        <w:rPr>
          <w:sz w:val="24"/>
        </w:rPr>
        <w:t xml:space="preserve"> adoption of </w:t>
      </w:r>
      <w:r w:rsidR="00EA5790">
        <w:rPr>
          <w:sz w:val="24"/>
        </w:rPr>
        <w:t>fertilizer use</w:t>
      </w:r>
      <w:r w:rsidR="00892711">
        <w:rPr>
          <w:sz w:val="24"/>
        </w:rPr>
        <w:t xml:space="preserve"> (per formative research)</w:t>
      </w:r>
      <w:r w:rsidR="00222054" w:rsidRPr="007C4908">
        <w:rPr>
          <w:sz w:val="24"/>
        </w:rPr>
        <w:t>, the project staff may monitor the cost of that input over the life of the project</w:t>
      </w:r>
      <w:r w:rsidR="00EA5790">
        <w:rPr>
          <w:sz w:val="24"/>
        </w:rPr>
        <w:t>, and offer free delivery of fertilizer when the cost of the fertilizer goes above a certain level</w:t>
      </w:r>
      <w:r w:rsidR="00222054" w:rsidRPr="007C4908">
        <w:rPr>
          <w:sz w:val="24"/>
        </w:rPr>
        <w:t xml:space="preserve">.  (One tool for conducting </w:t>
      </w:r>
      <w:r w:rsidR="00892711">
        <w:rPr>
          <w:sz w:val="24"/>
        </w:rPr>
        <w:t>small-sample</w:t>
      </w:r>
      <w:r w:rsidR="00222054" w:rsidRPr="007C4908">
        <w:rPr>
          <w:sz w:val="24"/>
        </w:rPr>
        <w:t xml:space="preserve"> surveys </w:t>
      </w:r>
      <w:r w:rsidR="00892711">
        <w:rPr>
          <w:sz w:val="24"/>
        </w:rPr>
        <w:t xml:space="preserve">to look at a few indicators </w:t>
      </w:r>
      <w:r w:rsidR="00222054" w:rsidRPr="007C4908">
        <w:rPr>
          <w:sz w:val="24"/>
        </w:rPr>
        <w:t xml:space="preserve">of this type is the </w:t>
      </w:r>
      <w:hyperlink r:id="rId17" w:history="1">
        <w:r w:rsidR="00222054" w:rsidRPr="007C4908">
          <w:rPr>
            <w:rStyle w:val="Hyperlink"/>
            <w:sz w:val="24"/>
          </w:rPr>
          <w:t>Mini-KPC using Lot Quality Assurance Sampling [LQAS]</w:t>
        </w:r>
      </w:hyperlink>
      <w:r w:rsidR="00222054" w:rsidRPr="007C4908">
        <w:rPr>
          <w:sz w:val="24"/>
        </w:rPr>
        <w:t>.)</w:t>
      </w:r>
      <w:r w:rsidR="00156C23">
        <w:rPr>
          <w:sz w:val="24"/>
        </w:rPr>
        <w:t xml:space="preserve"> </w:t>
      </w:r>
    </w:p>
    <w:p w14:paraId="174B7FE6" w14:textId="77777777" w:rsidR="00626DC8" w:rsidRDefault="00626DC8" w:rsidP="00626DC8">
      <w:pPr>
        <w:spacing w:after="60"/>
      </w:pPr>
    </w:p>
    <w:p w14:paraId="39FE195F" w14:textId="6EECB93F" w:rsidR="00626DC8" w:rsidRDefault="00626DC8" w:rsidP="00626DC8">
      <w:pPr>
        <w:spacing w:after="60"/>
      </w:pPr>
      <w:r>
        <w:t xml:space="preserve">Measuring changes in each of these </w:t>
      </w:r>
      <w:r w:rsidR="002720D1">
        <w:t>four</w:t>
      </w:r>
      <w:r>
        <w:t xml:space="preserve"> </w:t>
      </w:r>
      <w:r w:rsidR="004F2C04">
        <w:t>SBC elements</w:t>
      </w:r>
      <w:r>
        <w:t xml:space="preserve"> can help you to </w:t>
      </w:r>
      <w:r w:rsidR="00E76F2C">
        <w:t>better pinpoint</w:t>
      </w:r>
      <w:r>
        <w:t xml:space="preserve"> where the system is breaking down when adoption is not occurring</w:t>
      </w:r>
      <w:r w:rsidR="00E76F2C">
        <w:t xml:space="preserve"> or not occurring fast enough</w:t>
      </w:r>
      <w:r>
        <w:t>:</w:t>
      </w:r>
    </w:p>
    <w:p w14:paraId="642029B3" w14:textId="77777777" w:rsidR="00626DC8" w:rsidRPr="004C436C" w:rsidRDefault="00626DC8" w:rsidP="00626DC8">
      <w:pPr>
        <w:pStyle w:val="ListParagraph"/>
        <w:numPr>
          <w:ilvl w:val="0"/>
          <w:numId w:val="3"/>
        </w:numPr>
        <w:spacing w:after="60"/>
        <w:rPr>
          <w:b/>
          <w:sz w:val="28"/>
        </w:rPr>
      </w:pPr>
      <w:r w:rsidRPr="00626DC8">
        <w:rPr>
          <w:sz w:val="24"/>
        </w:rPr>
        <w:lastRenderedPageBreak/>
        <w:t xml:space="preserve">It is that people are </w:t>
      </w:r>
      <w:r w:rsidRPr="00E76F2C">
        <w:rPr>
          <w:i/>
          <w:sz w:val="24"/>
        </w:rPr>
        <w:t>not even hearing</w:t>
      </w:r>
      <w:r w:rsidRPr="00626DC8">
        <w:rPr>
          <w:sz w:val="24"/>
        </w:rPr>
        <w:t xml:space="preserve"> the message? </w:t>
      </w:r>
      <w:r w:rsidRPr="004C436C">
        <w:rPr>
          <w:b/>
          <w:sz w:val="24"/>
        </w:rPr>
        <w:t>(Reach)</w:t>
      </w:r>
    </w:p>
    <w:p w14:paraId="5B6D7A04" w14:textId="09165E23" w:rsidR="002720D1" w:rsidRPr="00367E70" w:rsidRDefault="00367E70" w:rsidP="00626DC8">
      <w:pPr>
        <w:pStyle w:val="ListParagraph"/>
        <w:numPr>
          <w:ilvl w:val="0"/>
          <w:numId w:val="3"/>
        </w:numPr>
        <w:spacing w:after="60"/>
        <w:rPr>
          <w:b/>
          <w:sz w:val="24"/>
        </w:rPr>
      </w:pPr>
      <w:r w:rsidRPr="00367E70">
        <w:rPr>
          <w:sz w:val="24"/>
        </w:rPr>
        <w:t xml:space="preserve">Or do they hear it, but </w:t>
      </w:r>
      <w:r>
        <w:rPr>
          <w:sz w:val="24"/>
        </w:rPr>
        <w:t xml:space="preserve">the quality of the practice promotion is poor?  </w:t>
      </w:r>
      <w:r w:rsidRPr="00367E70">
        <w:rPr>
          <w:b/>
          <w:sz w:val="24"/>
        </w:rPr>
        <w:t>(Quality of Practice Promotion)</w:t>
      </w:r>
    </w:p>
    <w:p w14:paraId="40ECB036" w14:textId="0BB7FCEB" w:rsidR="00626DC8" w:rsidRPr="004C436C" w:rsidRDefault="00626DC8" w:rsidP="00626DC8">
      <w:pPr>
        <w:pStyle w:val="ListParagraph"/>
        <w:numPr>
          <w:ilvl w:val="0"/>
          <w:numId w:val="3"/>
        </w:numPr>
        <w:spacing w:after="60"/>
        <w:rPr>
          <w:b/>
          <w:sz w:val="28"/>
        </w:rPr>
      </w:pPr>
      <w:r w:rsidRPr="00626DC8">
        <w:rPr>
          <w:sz w:val="24"/>
        </w:rPr>
        <w:t xml:space="preserve">Or do they hear it, </w:t>
      </w:r>
      <w:r w:rsidR="00287834">
        <w:rPr>
          <w:sz w:val="24"/>
        </w:rPr>
        <w:t xml:space="preserve">and the quality of the promotion is generally good, </w:t>
      </w:r>
      <w:r w:rsidRPr="00626DC8">
        <w:rPr>
          <w:sz w:val="24"/>
        </w:rPr>
        <w:t xml:space="preserve">but </w:t>
      </w:r>
      <w:r w:rsidR="00287834">
        <w:rPr>
          <w:sz w:val="24"/>
        </w:rPr>
        <w:t xml:space="preserve">the messages are constructed in such a way that people </w:t>
      </w:r>
      <w:r w:rsidRPr="00626DC8">
        <w:rPr>
          <w:sz w:val="24"/>
        </w:rPr>
        <w:t xml:space="preserve">are </w:t>
      </w:r>
      <w:r w:rsidRPr="00E76F2C">
        <w:rPr>
          <w:i/>
          <w:sz w:val="24"/>
        </w:rPr>
        <w:t>unable to understand it, remember it and transmit it to others</w:t>
      </w:r>
      <w:r w:rsidRPr="00626DC8">
        <w:rPr>
          <w:sz w:val="24"/>
        </w:rPr>
        <w:t xml:space="preserve">?  </w:t>
      </w:r>
      <w:r w:rsidRPr="004C436C">
        <w:rPr>
          <w:b/>
          <w:sz w:val="24"/>
        </w:rPr>
        <w:t>(Recall)</w:t>
      </w:r>
    </w:p>
    <w:p w14:paraId="5330EEF1" w14:textId="4674E2E1" w:rsidR="00626DC8" w:rsidRPr="004C436C" w:rsidRDefault="00626DC8" w:rsidP="0097385F">
      <w:pPr>
        <w:pStyle w:val="ListParagraph"/>
        <w:numPr>
          <w:ilvl w:val="0"/>
          <w:numId w:val="3"/>
        </w:numPr>
        <w:spacing w:after="120"/>
        <w:contextualSpacing w:val="0"/>
        <w:rPr>
          <w:b/>
          <w:sz w:val="28"/>
        </w:rPr>
      </w:pPr>
      <w:r w:rsidRPr="00626DC8">
        <w:rPr>
          <w:sz w:val="24"/>
        </w:rPr>
        <w:t xml:space="preserve">Or do they hear it, understand it, remember it and transmit it to others but </w:t>
      </w:r>
      <w:r w:rsidRPr="00E76F2C">
        <w:rPr>
          <w:i/>
          <w:sz w:val="24"/>
        </w:rPr>
        <w:t>have constraints that prevent them from adopting the practice</w:t>
      </w:r>
      <w:r w:rsidRPr="00626DC8">
        <w:rPr>
          <w:sz w:val="24"/>
        </w:rPr>
        <w:t xml:space="preserve"> (in</w:t>
      </w:r>
      <w:r w:rsidR="0097385F">
        <w:rPr>
          <w:sz w:val="24"/>
        </w:rPr>
        <w:t>cluding the approval of others)?  O</w:t>
      </w:r>
      <w:r w:rsidRPr="00626DC8">
        <w:rPr>
          <w:sz w:val="24"/>
        </w:rPr>
        <w:t xml:space="preserve">r </w:t>
      </w:r>
      <w:r w:rsidR="0097385F">
        <w:rPr>
          <w:sz w:val="24"/>
        </w:rPr>
        <w:t xml:space="preserve">does </w:t>
      </w:r>
      <w:r w:rsidRPr="00626DC8">
        <w:rPr>
          <w:sz w:val="24"/>
        </w:rPr>
        <w:t xml:space="preserve">the practice </w:t>
      </w:r>
      <w:r w:rsidRPr="00E76F2C">
        <w:rPr>
          <w:i/>
          <w:sz w:val="24"/>
        </w:rPr>
        <w:t>does not appeal to them</w:t>
      </w:r>
      <w:r w:rsidRPr="00626DC8">
        <w:rPr>
          <w:sz w:val="24"/>
        </w:rPr>
        <w:t xml:space="preserve"> </w:t>
      </w:r>
      <w:r w:rsidR="00E76F2C">
        <w:rPr>
          <w:sz w:val="24"/>
        </w:rPr>
        <w:t>since it does not connect with their current capabilities</w:t>
      </w:r>
      <w:r w:rsidRPr="00626DC8">
        <w:rPr>
          <w:sz w:val="24"/>
        </w:rPr>
        <w:t>, opportunities, or motivations/</w:t>
      </w:r>
      <w:r w:rsidR="004C436C">
        <w:rPr>
          <w:sz w:val="24"/>
        </w:rPr>
        <w:t xml:space="preserve">values?  </w:t>
      </w:r>
      <w:r w:rsidR="004C436C" w:rsidRPr="004C436C">
        <w:rPr>
          <w:b/>
          <w:sz w:val="24"/>
        </w:rPr>
        <w:t>(Constraints and F</w:t>
      </w:r>
      <w:r w:rsidRPr="004C436C">
        <w:rPr>
          <w:b/>
          <w:sz w:val="24"/>
        </w:rPr>
        <w:t>acilitators)</w:t>
      </w:r>
    </w:p>
    <w:p w14:paraId="04337E0A" w14:textId="5364F326" w:rsidR="00E76F2C" w:rsidRDefault="00E76F2C" w:rsidP="00E76F2C">
      <w:r>
        <w:t>Including these types of indicators in operations research</w:t>
      </w:r>
      <w:r w:rsidR="0097385F">
        <w:t>, regular monitoring,</w:t>
      </w:r>
      <w:r>
        <w:t xml:space="preserve"> and baseline</w:t>
      </w:r>
      <w:r w:rsidR="0097385F">
        <w:t>, midterm</w:t>
      </w:r>
      <w:r>
        <w:t xml:space="preserve"> and </w:t>
      </w:r>
      <w:proofErr w:type="spellStart"/>
      <w:r>
        <w:t>endline</w:t>
      </w:r>
      <w:proofErr w:type="spellEnd"/>
      <w:r>
        <w:t xml:space="preserve"> surveys helps explain </w:t>
      </w:r>
      <w:r w:rsidRPr="00E76F2C">
        <w:rPr>
          <w:i/>
        </w:rPr>
        <w:t>why</w:t>
      </w:r>
      <w:r>
        <w:t xml:space="preserve"> a project did or didn’t meet its objectives, and contributes to the larger evidence base for SBC and nutrition-sensitive agriculture. While this cannot be done for </w:t>
      </w:r>
      <w:r w:rsidRPr="00287834">
        <w:rPr>
          <w:i/>
        </w:rPr>
        <w:t>all</w:t>
      </w:r>
      <w:r>
        <w:t xml:space="preserve"> </w:t>
      </w:r>
      <w:r w:rsidR="0097385F">
        <w:t>of the practices that you</w:t>
      </w:r>
      <w:r>
        <w:t xml:space="preserve"> </w:t>
      </w:r>
      <w:r w:rsidR="0097385F">
        <w:t>may promote</w:t>
      </w:r>
      <w:r>
        <w:t xml:space="preserve">, it can be done for the </w:t>
      </w:r>
      <w:r w:rsidR="0097385F" w:rsidRPr="00287834">
        <w:rPr>
          <w:i/>
        </w:rPr>
        <w:t>key</w:t>
      </w:r>
      <w:r>
        <w:t xml:space="preserve"> </w:t>
      </w:r>
      <w:r w:rsidR="0097385F">
        <w:t xml:space="preserve">practices that you want to change – those </w:t>
      </w:r>
      <w:r>
        <w:t>which will help peo</w:t>
      </w:r>
      <w:r w:rsidR="0097385F">
        <w:t>ple the most</w:t>
      </w:r>
      <w:r>
        <w:t xml:space="preserve">.  Depending on </w:t>
      </w:r>
      <w:r w:rsidR="0097385F">
        <w:t xml:space="preserve">a </w:t>
      </w:r>
      <w:r>
        <w:t>project</w:t>
      </w:r>
      <w:r w:rsidR="0097385F">
        <w:t>’s</w:t>
      </w:r>
      <w:r>
        <w:t xml:space="preserve"> scale and resources, the implementation context, and the type of </w:t>
      </w:r>
      <w:r w:rsidR="0097385F">
        <w:t>key</w:t>
      </w:r>
      <w:r>
        <w:t xml:space="preserve"> practices being promoted, change may occur very fast. </w:t>
      </w:r>
      <w:r w:rsidR="0097385F">
        <w:t xml:space="preserve"> </w:t>
      </w:r>
      <w:r>
        <w:t>A year is often enough to show improv</w:t>
      </w:r>
      <w:r w:rsidR="0097385F">
        <w:t>ed nutrition-sensitive outcomes when you have the right coverage plan for reaching beneficiaries, the intensity of contact with them is adequate</w:t>
      </w:r>
      <w:r w:rsidR="00460AD8">
        <w:t>, and you have tailored your messaging and project activities to reduce constraints and utilize facilitators of the practice</w:t>
      </w:r>
      <w:r w:rsidR="0097385F">
        <w:t xml:space="preserve">.  </w:t>
      </w:r>
    </w:p>
    <w:p w14:paraId="2AE73D9D" w14:textId="77777777" w:rsidR="00E76F2C" w:rsidRDefault="00E76F2C" w:rsidP="00626DC8">
      <w:pPr>
        <w:spacing w:after="60"/>
        <w:rPr>
          <w:highlight w:val="yellow"/>
        </w:rPr>
      </w:pPr>
    </w:p>
    <w:p w14:paraId="62923658" w14:textId="252B2D61" w:rsidR="00626DC8" w:rsidRPr="00626DC8" w:rsidRDefault="00287834" w:rsidP="00626DC8">
      <w:pPr>
        <w:spacing w:after="60"/>
        <w:rPr>
          <w:b/>
        </w:rPr>
      </w:pPr>
      <w:r>
        <w:rPr>
          <w:b/>
        </w:rPr>
        <w:t xml:space="preserve">In addition to these four elements of an SBC monitoring system, there are two other things that you should measure </w:t>
      </w:r>
      <w:r w:rsidR="00626DC8" w:rsidRPr="00626DC8">
        <w:rPr>
          <w:b/>
        </w:rPr>
        <w:t>in social and behavior change:</w:t>
      </w:r>
    </w:p>
    <w:p w14:paraId="45714F01" w14:textId="4ECF6BA1" w:rsidR="000F0EE8" w:rsidRPr="000F0EE8" w:rsidRDefault="00222054" w:rsidP="000F0EE8">
      <w:pPr>
        <w:pStyle w:val="ListParagraph"/>
        <w:numPr>
          <w:ilvl w:val="0"/>
          <w:numId w:val="3"/>
        </w:numPr>
        <w:spacing w:after="60"/>
        <w:contextualSpacing w:val="0"/>
        <w:rPr>
          <w:sz w:val="24"/>
        </w:rPr>
      </w:pPr>
      <w:r w:rsidRPr="007C4908">
        <w:rPr>
          <w:b/>
          <w:sz w:val="24"/>
        </w:rPr>
        <w:t>Practices</w:t>
      </w:r>
      <w:r w:rsidRPr="007C4908">
        <w:rPr>
          <w:sz w:val="24"/>
        </w:rPr>
        <w:t xml:space="preserve">: </w:t>
      </w:r>
      <w:r w:rsidR="00626DC8">
        <w:rPr>
          <w:sz w:val="24"/>
        </w:rPr>
        <w:t xml:space="preserve"> Obviously, one of the main things that we want to measure – and often do measure – is </w:t>
      </w:r>
      <w:r w:rsidR="00626DC8" w:rsidRPr="00BD1250">
        <w:rPr>
          <w:sz w:val="24"/>
          <w:u w:val="single"/>
        </w:rPr>
        <w:t>whether or not adoption has taken place</w:t>
      </w:r>
      <w:r w:rsidR="00626DC8">
        <w:rPr>
          <w:sz w:val="24"/>
        </w:rPr>
        <w:t xml:space="preserve">, and whether people are </w:t>
      </w:r>
      <w:r w:rsidR="00626DC8" w:rsidRPr="00BD1250">
        <w:rPr>
          <w:sz w:val="24"/>
          <w:u w:val="single"/>
        </w:rPr>
        <w:t>maintaining the practice</w:t>
      </w:r>
      <w:r w:rsidR="00626DC8">
        <w:rPr>
          <w:sz w:val="24"/>
        </w:rPr>
        <w:t xml:space="preserve"> over time.  It is not uncommon with some practices that you can achieve a large uptake in the practice, but then people abandon it after a time</w:t>
      </w:r>
      <w:r w:rsidR="00B7701C">
        <w:rPr>
          <w:sz w:val="24"/>
        </w:rPr>
        <w:t xml:space="preserve"> due to new constraints or </w:t>
      </w:r>
      <w:r w:rsidR="00436DA4">
        <w:rPr>
          <w:sz w:val="24"/>
        </w:rPr>
        <w:t>diminishing facilitators.  This can be from</w:t>
      </w:r>
      <w:r w:rsidR="00626DC8">
        <w:rPr>
          <w:sz w:val="24"/>
        </w:rPr>
        <w:t xml:space="preserve"> a lack of </w:t>
      </w:r>
      <w:r w:rsidR="00B7701C">
        <w:rPr>
          <w:sz w:val="24"/>
        </w:rPr>
        <w:t xml:space="preserve">continued </w:t>
      </w:r>
      <w:r w:rsidR="00626DC8">
        <w:rPr>
          <w:sz w:val="24"/>
        </w:rPr>
        <w:t xml:space="preserve">external promotion of </w:t>
      </w:r>
      <w:r w:rsidR="00BD1250">
        <w:rPr>
          <w:sz w:val="24"/>
        </w:rPr>
        <w:t xml:space="preserve">– or incentives for – </w:t>
      </w:r>
      <w:r w:rsidR="00626DC8">
        <w:rPr>
          <w:sz w:val="24"/>
        </w:rPr>
        <w:t xml:space="preserve">the practice, a lack of </w:t>
      </w:r>
      <w:r w:rsidR="00BD1250">
        <w:rPr>
          <w:sz w:val="24"/>
        </w:rPr>
        <w:t xml:space="preserve">continued </w:t>
      </w:r>
      <w:r w:rsidR="00626DC8">
        <w:rPr>
          <w:sz w:val="24"/>
        </w:rPr>
        <w:t xml:space="preserve">internal motivations (e.g., the practice did not appear to be “paying off”), </w:t>
      </w:r>
      <w:r w:rsidR="007422CD">
        <w:rPr>
          <w:sz w:val="24"/>
        </w:rPr>
        <w:t xml:space="preserve">recognizing </w:t>
      </w:r>
      <w:r w:rsidR="00BD1250">
        <w:rPr>
          <w:sz w:val="24"/>
        </w:rPr>
        <w:t>previously unknown negative aspects of</w:t>
      </w:r>
      <w:r w:rsidR="00626DC8">
        <w:rPr>
          <w:sz w:val="24"/>
        </w:rPr>
        <w:t xml:space="preserve"> </w:t>
      </w:r>
      <w:r w:rsidR="007422CD">
        <w:rPr>
          <w:sz w:val="24"/>
        </w:rPr>
        <w:t>a</w:t>
      </w:r>
      <w:r w:rsidR="00626DC8">
        <w:rPr>
          <w:sz w:val="24"/>
        </w:rPr>
        <w:t xml:space="preserve"> </w:t>
      </w:r>
      <w:r w:rsidR="00BD1250">
        <w:rPr>
          <w:sz w:val="24"/>
        </w:rPr>
        <w:t xml:space="preserve">practice, </w:t>
      </w:r>
      <w:r w:rsidR="00436DA4">
        <w:rPr>
          <w:sz w:val="24"/>
        </w:rPr>
        <w:t>or other causes.  In some of the best projects, ad</w:t>
      </w:r>
      <w:r w:rsidR="007422CD">
        <w:rPr>
          <w:sz w:val="24"/>
        </w:rPr>
        <w:t xml:space="preserve">option of the key practices are </w:t>
      </w:r>
      <w:r w:rsidR="00436DA4">
        <w:rPr>
          <w:sz w:val="24"/>
        </w:rPr>
        <w:t xml:space="preserve">measured not just at baseline, midline, and </w:t>
      </w:r>
      <w:proofErr w:type="spellStart"/>
      <w:r w:rsidR="00436DA4">
        <w:rPr>
          <w:sz w:val="24"/>
        </w:rPr>
        <w:t>endline</w:t>
      </w:r>
      <w:proofErr w:type="spellEnd"/>
      <w:r w:rsidR="00436DA4">
        <w:rPr>
          <w:sz w:val="24"/>
        </w:rPr>
        <w:t xml:space="preserve">, but more continuously throughout the project (e.g., annually or several times a year).   Having a better idea of </w:t>
      </w:r>
      <w:r w:rsidR="007422CD">
        <w:rPr>
          <w:sz w:val="24"/>
        </w:rPr>
        <w:t>the adoption pattern of</w:t>
      </w:r>
      <w:r w:rsidR="00436DA4">
        <w:rPr>
          <w:sz w:val="24"/>
        </w:rPr>
        <w:t xml:space="preserve"> </w:t>
      </w:r>
      <w:r w:rsidR="007422CD">
        <w:rPr>
          <w:sz w:val="24"/>
        </w:rPr>
        <w:t xml:space="preserve">each </w:t>
      </w:r>
      <w:r w:rsidR="00436DA4">
        <w:rPr>
          <w:sz w:val="24"/>
        </w:rPr>
        <w:t>key practice can help the project staff to modify their plans when a practice is initially adopted but then begins to drop off</w:t>
      </w:r>
      <w:r w:rsidR="007422CD">
        <w:rPr>
          <w:sz w:val="24"/>
        </w:rPr>
        <w:t>, or when after repeated promotion, large-scale adoption never happens</w:t>
      </w:r>
      <w:r w:rsidR="00436DA4">
        <w:rPr>
          <w:sz w:val="24"/>
        </w:rPr>
        <w:t>.  While our usual inclination when this drop-off happens is to do “more of the same” (e.g., repeating messages), this is a great time to look at what has changed</w:t>
      </w:r>
      <w:r w:rsidR="007422CD">
        <w:rPr>
          <w:sz w:val="24"/>
        </w:rPr>
        <w:t xml:space="preserve"> and not changed</w:t>
      </w:r>
      <w:r w:rsidR="00436DA4">
        <w:rPr>
          <w:sz w:val="24"/>
        </w:rPr>
        <w:t xml:space="preserve">, and to get input from your </w:t>
      </w:r>
      <w:r w:rsidR="007422CD">
        <w:rPr>
          <w:sz w:val="24"/>
        </w:rPr>
        <w:t>priority</w:t>
      </w:r>
      <w:r w:rsidR="00436DA4">
        <w:rPr>
          <w:sz w:val="24"/>
        </w:rPr>
        <w:t xml:space="preserve"> group about why they are abandoning the new practice.</w:t>
      </w:r>
      <w:r w:rsidR="0024145F">
        <w:rPr>
          <w:sz w:val="24"/>
        </w:rPr>
        <w:t xml:space="preserve">  An </w:t>
      </w:r>
      <w:r w:rsidR="0024145F" w:rsidRPr="00AF5214">
        <w:rPr>
          <w:b/>
          <w:i/>
          <w:sz w:val="24"/>
        </w:rPr>
        <w:t>example</w:t>
      </w:r>
      <w:r w:rsidR="0024145F">
        <w:rPr>
          <w:sz w:val="24"/>
        </w:rPr>
        <w:t xml:space="preserve"> of this measurement </w:t>
      </w:r>
      <w:r w:rsidR="00AF5214">
        <w:rPr>
          <w:sz w:val="24"/>
        </w:rPr>
        <w:t xml:space="preserve">of </w:t>
      </w:r>
      <w:r w:rsidR="007422CD">
        <w:rPr>
          <w:sz w:val="24"/>
        </w:rPr>
        <w:t>a practice</w:t>
      </w:r>
      <w:r w:rsidR="00AF5214">
        <w:rPr>
          <w:sz w:val="24"/>
        </w:rPr>
        <w:t xml:space="preserve"> </w:t>
      </w:r>
      <w:r w:rsidR="0024145F">
        <w:rPr>
          <w:sz w:val="24"/>
        </w:rPr>
        <w:t xml:space="preserve">would be </w:t>
      </w:r>
      <w:r w:rsidR="007422CD">
        <w:rPr>
          <w:sz w:val="24"/>
        </w:rPr>
        <w:t xml:space="preserve">to measure the </w:t>
      </w:r>
      <w:r w:rsidR="007422CD">
        <w:rPr>
          <w:i/>
          <w:sz w:val="24"/>
        </w:rPr>
        <w:t>p</w:t>
      </w:r>
      <w:r w:rsidR="0024145F" w:rsidRPr="00AF5214">
        <w:rPr>
          <w:i/>
          <w:sz w:val="24"/>
        </w:rPr>
        <w:t xml:space="preserve">roportion of </w:t>
      </w:r>
      <w:r w:rsidR="000F0EE8" w:rsidRPr="00AF5214">
        <w:rPr>
          <w:i/>
          <w:sz w:val="24"/>
        </w:rPr>
        <w:t>farmers who planted a leguminous crop in the same field as their stap</w:t>
      </w:r>
      <w:r w:rsidR="00AF5214" w:rsidRPr="00AF5214">
        <w:rPr>
          <w:i/>
          <w:sz w:val="24"/>
        </w:rPr>
        <w:t>le crop during the last growing season.</w:t>
      </w:r>
    </w:p>
    <w:p w14:paraId="6C4F44A6" w14:textId="219DB6BA" w:rsidR="00222054" w:rsidRPr="00B6169E" w:rsidRDefault="00B6169E" w:rsidP="00B6169E">
      <w:pPr>
        <w:pStyle w:val="ListParagraph"/>
        <w:numPr>
          <w:ilvl w:val="0"/>
          <w:numId w:val="3"/>
        </w:numPr>
        <w:spacing w:after="60"/>
        <w:contextualSpacing w:val="0"/>
      </w:pPr>
      <w:r>
        <w:rPr>
          <w:b/>
          <w:sz w:val="24"/>
        </w:rPr>
        <w:lastRenderedPageBreak/>
        <w:t xml:space="preserve">Higher-level </w:t>
      </w:r>
      <w:r w:rsidR="00222054" w:rsidRPr="007C4908">
        <w:rPr>
          <w:b/>
          <w:sz w:val="24"/>
        </w:rPr>
        <w:t>Outcomes</w:t>
      </w:r>
      <w:r w:rsidR="00222054" w:rsidRPr="007C4908">
        <w:rPr>
          <w:sz w:val="24"/>
        </w:rPr>
        <w:t>:</w:t>
      </w:r>
      <w:r w:rsidR="007E02E3">
        <w:rPr>
          <w:sz w:val="24"/>
        </w:rPr>
        <w:t xml:space="preserve">  Sometimes the practice you are promoting is the outcome you want to measure.  At other time</w:t>
      </w:r>
      <w:r>
        <w:rPr>
          <w:sz w:val="24"/>
        </w:rPr>
        <w:t xml:space="preserve">s, you will need to measure a higher-level </w:t>
      </w:r>
      <w:r w:rsidR="007E02E3">
        <w:rPr>
          <w:sz w:val="24"/>
        </w:rPr>
        <w:t>outcome separately from the practice</w:t>
      </w:r>
      <w:r>
        <w:rPr>
          <w:sz w:val="24"/>
        </w:rPr>
        <w:t xml:space="preserve"> you are promoting</w:t>
      </w:r>
      <w:r w:rsidR="007E02E3">
        <w:rPr>
          <w:sz w:val="24"/>
        </w:rPr>
        <w:t xml:space="preserve">. </w:t>
      </w:r>
      <w:r>
        <w:rPr>
          <w:sz w:val="24"/>
        </w:rPr>
        <w:t xml:space="preserve"> For example, you may be measuring regular participation</w:t>
      </w:r>
      <w:r w:rsidR="00407714">
        <w:rPr>
          <w:sz w:val="24"/>
        </w:rPr>
        <w:t xml:space="preserve"> in savings group meetings as one</w:t>
      </w:r>
      <w:r>
        <w:rPr>
          <w:sz w:val="24"/>
        </w:rPr>
        <w:t xml:space="preserve"> outcome, but that outcome leads to a higher-level outcome that you want to monitor, as well – </w:t>
      </w:r>
      <w:r w:rsidR="009E23DB">
        <w:rPr>
          <w:sz w:val="24"/>
        </w:rPr>
        <w:t>such as</w:t>
      </w:r>
      <w:r>
        <w:rPr>
          <w:sz w:val="24"/>
        </w:rPr>
        <w:t xml:space="preserve"> the proportion of people who have taken out a loan for agricultural purposes in the past </w:t>
      </w:r>
      <w:r w:rsidR="009E23DB">
        <w:rPr>
          <w:sz w:val="24"/>
        </w:rPr>
        <w:t>growing season</w:t>
      </w:r>
      <w:r>
        <w:rPr>
          <w:sz w:val="24"/>
        </w:rPr>
        <w:t xml:space="preserve">. </w:t>
      </w:r>
    </w:p>
    <w:p w14:paraId="607623A0" w14:textId="77777777" w:rsidR="00B6169E" w:rsidRDefault="00B6169E" w:rsidP="00B6169E">
      <w:pPr>
        <w:spacing w:after="60"/>
      </w:pPr>
    </w:p>
    <w:p w14:paraId="3190829A" w14:textId="5527B927" w:rsidR="00086916" w:rsidRDefault="00086916" w:rsidP="00407714">
      <w:pPr>
        <w:spacing w:after="80"/>
      </w:pPr>
      <w:r>
        <w:t xml:space="preserve">Some projects also measure two additional </w:t>
      </w:r>
      <w:r w:rsidR="00C7757E">
        <w:t>things.</w:t>
      </w:r>
    </w:p>
    <w:p w14:paraId="0D19CB14" w14:textId="754BF90F" w:rsidR="00086916" w:rsidRDefault="00407714" w:rsidP="00407714">
      <w:pPr>
        <w:pStyle w:val="ListParagraph"/>
        <w:numPr>
          <w:ilvl w:val="0"/>
          <w:numId w:val="2"/>
        </w:numPr>
        <w:spacing w:after="80"/>
        <w:contextualSpacing w:val="0"/>
      </w:pPr>
      <w:r w:rsidRPr="00C7757E">
        <w:rPr>
          <w:b/>
        </w:rPr>
        <w:t>Acceptability</w:t>
      </w:r>
      <w:r>
        <w:t xml:space="preserve">: </w:t>
      </w:r>
      <w:r w:rsidR="00C7757E">
        <w:t xml:space="preserve"> </w:t>
      </w:r>
      <w:r w:rsidR="00941F24">
        <w:t>When a new agricultural technology, product or service is introduced, it can be helpful to monitor the degree to which people find it acceptable, and what they like and do not like about it.  This can be done in small-sample surveys with people who have had experience with the technology, product, or service.  Project staff can then use that information to make chan</w:t>
      </w:r>
      <w:r w:rsidR="00A85147">
        <w:t xml:space="preserve">ges to increase acceptability over time.  </w:t>
      </w:r>
      <w:r w:rsidR="00042E08">
        <w:t>Principles from User</w:t>
      </w:r>
      <w:r w:rsidR="002D5868">
        <w:t xml:space="preserve">-centered Design </w:t>
      </w:r>
      <w:r w:rsidR="00042E08">
        <w:t>(also known as Human-centered Design) can be useful if your project is working on improving acceptability of a new agricultural technology, product, or service.</w:t>
      </w:r>
      <w:r w:rsidR="002D5868">
        <w:t xml:space="preserve"> </w:t>
      </w:r>
    </w:p>
    <w:p w14:paraId="43ACFF90" w14:textId="12D3AB50" w:rsidR="002102A1" w:rsidRDefault="00407714" w:rsidP="00086916">
      <w:pPr>
        <w:pStyle w:val="ListParagraph"/>
        <w:numPr>
          <w:ilvl w:val="0"/>
          <w:numId w:val="2"/>
        </w:numPr>
      </w:pPr>
      <w:r w:rsidRPr="00042E08">
        <w:rPr>
          <w:b/>
        </w:rPr>
        <w:t>Q</w:t>
      </w:r>
      <w:r w:rsidR="002102A1" w:rsidRPr="00042E08">
        <w:rPr>
          <w:b/>
        </w:rPr>
        <w:t>uality of goods and services</w:t>
      </w:r>
      <w:r>
        <w:t xml:space="preserve">: </w:t>
      </w:r>
      <w:r w:rsidR="00042E08">
        <w:t xml:space="preserve"> In addition to monitoring the acceptability of a technology, product or service as it is perceived by your priority group, it is sometimes important to measure the objective quality, as well.  For example, you may test lots of seeds that are being promoted in a project to see if their </w:t>
      </w:r>
      <w:r w:rsidR="005B44BF">
        <w:t>germination</w:t>
      </w:r>
      <w:r w:rsidR="00042E08">
        <w:t xml:space="preserve"> rates live up to the manufacturer’s claims.  </w:t>
      </w:r>
    </w:p>
    <w:p w14:paraId="2D180237" w14:textId="77777777" w:rsidR="00086916" w:rsidRDefault="00086916" w:rsidP="00222054"/>
    <w:p w14:paraId="39DED875" w14:textId="01514F41" w:rsidR="00550B1E" w:rsidRPr="006B6D3A" w:rsidRDefault="005441FF" w:rsidP="00157EE6">
      <w:pPr>
        <w:pStyle w:val="CommentText"/>
        <w:rPr>
          <w:b/>
          <w:color w:val="0432FF"/>
        </w:rPr>
      </w:pPr>
      <w:r>
        <w:rPr>
          <w:b/>
          <w:color w:val="0432FF"/>
        </w:rPr>
        <w:t>Here is a table of illustrative i</w:t>
      </w:r>
      <w:r w:rsidR="006B6D3A">
        <w:rPr>
          <w:b/>
          <w:color w:val="0432FF"/>
        </w:rPr>
        <w:t>ndicators which could be used to measure each of the elements in a Monitoring Plan</w:t>
      </w:r>
    </w:p>
    <w:tbl>
      <w:tblPr>
        <w:tblStyle w:val="TableGrid"/>
        <w:tblW w:w="9346" w:type="dxa"/>
        <w:tblLook w:val="04A0" w:firstRow="1" w:lastRow="0" w:firstColumn="1" w:lastColumn="0" w:noHBand="0" w:noVBand="1"/>
      </w:tblPr>
      <w:tblGrid>
        <w:gridCol w:w="6824"/>
        <w:gridCol w:w="2522"/>
      </w:tblGrid>
      <w:tr w:rsidR="009637F8" w14:paraId="03A50247" w14:textId="2B541A25" w:rsidTr="00344708">
        <w:trPr>
          <w:tblHeader/>
        </w:trPr>
        <w:tc>
          <w:tcPr>
            <w:tcW w:w="6824" w:type="dxa"/>
            <w:shd w:val="clear" w:color="auto" w:fill="BFBFBF" w:themeFill="background1" w:themeFillShade="BF"/>
          </w:tcPr>
          <w:p w14:paraId="73BA7874" w14:textId="1EB9F1FB" w:rsidR="00344708" w:rsidRPr="00075D31" w:rsidRDefault="00344708" w:rsidP="00075D31">
            <w:pPr>
              <w:pStyle w:val="CommentText"/>
              <w:jc w:val="center"/>
              <w:rPr>
                <w:b/>
                <w:color w:val="000000" w:themeColor="text1"/>
              </w:rPr>
            </w:pPr>
            <w:r w:rsidRPr="00075D31">
              <w:rPr>
                <w:b/>
                <w:color w:val="000000" w:themeColor="text1"/>
              </w:rPr>
              <w:t>Indicator Description</w:t>
            </w:r>
          </w:p>
        </w:tc>
        <w:tc>
          <w:tcPr>
            <w:tcW w:w="2522" w:type="dxa"/>
            <w:shd w:val="clear" w:color="auto" w:fill="BFBFBF" w:themeFill="background1" w:themeFillShade="BF"/>
          </w:tcPr>
          <w:p w14:paraId="53ABDF5E" w14:textId="5E84E6CD" w:rsidR="00344708" w:rsidRPr="00075D31" w:rsidRDefault="00344708" w:rsidP="00075D31">
            <w:pPr>
              <w:pStyle w:val="CommentText"/>
              <w:jc w:val="center"/>
              <w:rPr>
                <w:b/>
                <w:color w:val="000000" w:themeColor="text1"/>
              </w:rPr>
            </w:pPr>
            <w:r w:rsidRPr="00075D31">
              <w:rPr>
                <w:b/>
                <w:color w:val="000000" w:themeColor="text1"/>
              </w:rPr>
              <w:t>SBC Monitoring Plan Element</w:t>
            </w:r>
          </w:p>
        </w:tc>
      </w:tr>
      <w:tr w:rsidR="009637F8" w14:paraId="09928BFC" w14:textId="29220ED4" w:rsidTr="00344708">
        <w:tc>
          <w:tcPr>
            <w:tcW w:w="6824" w:type="dxa"/>
            <w:vAlign w:val="center"/>
          </w:tcPr>
          <w:p w14:paraId="6C550B32" w14:textId="1592CCD1" w:rsidR="00344708" w:rsidRPr="00904177" w:rsidRDefault="00C430A2" w:rsidP="00C430A2">
            <w:pPr>
              <w:pStyle w:val="CommentText"/>
              <w:rPr>
                <w:b/>
                <w:color w:val="000000" w:themeColor="text1"/>
                <w:sz w:val="22"/>
              </w:rPr>
            </w:pPr>
            <w:r>
              <w:rPr>
                <w:i/>
                <w:sz w:val="20"/>
              </w:rPr>
              <w:t>T</w:t>
            </w:r>
            <w:r w:rsidR="00344708" w:rsidRPr="00904177">
              <w:rPr>
                <w:i/>
                <w:sz w:val="20"/>
              </w:rPr>
              <w:t>he percentage of savings and loan group members who attended a group meeting where the benefits of joint decision making with spouses on use of loans were discussed during the past quarter</w:t>
            </w:r>
          </w:p>
        </w:tc>
        <w:tc>
          <w:tcPr>
            <w:tcW w:w="2522" w:type="dxa"/>
            <w:vAlign w:val="center"/>
          </w:tcPr>
          <w:p w14:paraId="159B8037" w14:textId="4694081D" w:rsidR="00344708" w:rsidRPr="00904177" w:rsidRDefault="00344708" w:rsidP="00600F9E">
            <w:pPr>
              <w:pStyle w:val="CommentText"/>
              <w:rPr>
                <w:color w:val="0432FF"/>
                <w:sz w:val="20"/>
              </w:rPr>
            </w:pPr>
            <w:r w:rsidRPr="00904177">
              <w:rPr>
                <w:b/>
                <w:color w:val="000000" w:themeColor="text1"/>
                <w:sz w:val="22"/>
              </w:rPr>
              <w:t>Reach</w:t>
            </w:r>
          </w:p>
        </w:tc>
      </w:tr>
      <w:tr w:rsidR="009637F8" w14:paraId="7DA2C2A9" w14:textId="790D0835" w:rsidTr="00344708">
        <w:tc>
          <w:tcPr>
            <w:tcW w:w="6824" w:type="dxa"/>
            <w:vAlign w:val="center"/>
          </w:tcPr>
          <w:p w14:paraId="5610F965" w14:textId="779FC825" w:rsidR="00344708" w:rsidRPr="00904177" w:rsidRDefault="00344708" w:rsidP="006502E0">
            <w:pPr>
              <w:pStyle w:val="CommentText"/>
              <w:rPr>
                <w:b/>
                <w:color w:val="000000" w:themeColor="text1"/>
                <w:sz w:val="22"/>
              </w:rPr>
            </w:pPr>
            <w:r w:rsidRPr="00904177">
              <w:rPr>
                <w:i/>
                <w:sz w:val="20"/>
              </w:rPr>
              <w:t>The percentage of Savings and Loan Group facilitators who scored at least 75% on the Quality Improvement &amp; Verification Checklist for practice promotion.</w:t>
            </w:r>
          </w:p>
        </w:tc>
        <w:tc>
          <w:tcPr>
            <w:tcW w:w="2522" w:type="dxa"/>
            <w:vAlign w:val="center"/>
          </w:tcPr>
          <w:p w14:paraId="643C7008" w14:textId="38082371" w:rsidR="00344708" w:rsidRPr="00904177" w:rsidRDefault="00344708" w:rsidP="006502E0">
            <w:pPr>
              <w:pStyle w:val="CommentText"/>
              <w:rPr>
                <w:i/>
                <w:sz w:val="20"/>
              </w:rPr>
            </w:pPr>
            <w:r w:rsidRPr="00904177">
              <w:rPr>
                <w:b/>
                <w:color w:val="000000" w:themeColor="text1"/>
                <w:sz w:val="22"/>
              </w:rPr>
              <w:t>Quality of practice promotion</w:t>
            </w:r>
          </w:p>
        </w:tc>
      </w:tr>
      <w:tr w:rsidR="009637F8" w14:paraId="77CCC337" w14:textId="2C13F853" w:rsidTr="00344708">
        <w:tc>
          <w:tcPr>
            <w:tcW w:w="6824" w:type="dxa"/>
            <w:vAlign w:val="center"/>
          </w:tcPr>
          <w:p w14:paraId="6812D2D7" w14:textId="47CE2329" w:rsidR="00344708" w:rsidRPr="00904177" w:rsidRDefault="00344708" w:rsidP="006502E0">
            <w:pPr>
              <w:pStyle w:val="CommentText"/>
              <w:rPr>
                <w:b/>
                <w:color w:val="000000" w:themeColor="text1"/>
                <w:sz w:val="22"/>
              </w:rPr>
            </w:pPr>
            <w:r w:rsidRPr="00904177">
              <w:rPr>
                <w:i/>
                <w:sz w:val="20"/>
              </w:rPr>
              <w:t>The percentage of savings and loan group members who can remember hearing messages on the benefits of joint decision making with spouses on use of loans in the past month and who can mention three advantages of doing so</w:t>
            </w:r>
          </w:p>
        </w:tc>
        <w:tc>
          <w:tcPr>
            <w:tcW w:w="2522" w:type="dxa"/>
            <w:vAlign w:val="center"/>
          </w:tcPr>
          <w:p w14:paraId="352F6F47" w14:textId="2B4476E6" w:rsidR="00344708" w:rsidRPr="00904177" w:rsidRDefault="00344708" w:rsidP="00600F9E">
            <w:pPr>
              <w:pStyle w:val="CommentText"/>
              <w:rPr>
                <w:color w:val="0432FF"/>
                <w:sz w:val="20"/>
              </w:rPr>
            </w:pPr>
            <w:r w:rsidRPr="00904177">
              <w:rPr>
                <w:b/>
                <w:color w:val="000000" w:themeColor="text1"/>
                <w:sz w:val="22"/>
              </w:rPr>
              <w:t>Recall</w:t>
            </w:r>
          </w:p>
        </w:tc>
      </w:tr>
      <w:tr w:rsidR="009637F8" w14:paraId="6F58AA56" w14:textId="12916665" w:rsidTr="00344708">
        <w:tc>
          <w:tcPr>
            <w:tcW w:w="6824" w:type="dxa"/>
            <w:vAlign w:val="center"/>
          </w:tcPr>
          <w:p w14:paraId="056A1FAD" w14:textId="4A27AF24" w:rsidR="00344708" w:rsidRPr="00904177" w:rsidRDefault="00344708" w:rsidP="006502E0">
            <w:pPr>
              <w:pStyle w:val="CommentText"/>
              <w:rPr>
                <w:b/>
                <w:color w:val="000000" w:themeColor="text1"/>
                <w:sz w:val="22"/>
              </w:rPr>
            </w:pPr>
            <w:r w:rsidRPr="00904177">
              <w:rPr>
                <w:i/>
                <w:sz w:val="20"/>
              </w:rPr>
              <w:t>The percentage of savings and loan group members who say that their pastor or imam approves of their jointly making decisions with their spouse regarding how to use loans</w:t>
            </w:r>
          </w:p>
        </w:tc>
        <w:tc>
          <w:tcPr>
            <w:tcW w:w="2522" w:type="dxa"/>
            <w:vAlign w:val="center"/>
          </w:tcPr>
          <w:p w14:paraId="534DEBB7" w14:textId="3F7E4196" w:rsidR="00344708" w:rsidRPr="00904177" w:rsidRDefault="009637F8" w:rsidP="009637F8">
            <w:pPr>
              <w:pStyle w:val="CommentText"/>
              <w:rPr>
                <w:i/>
                <w:sz w:val="20"/>
              </w:rPr>
            </w:pPr>
            <w:r>
              <w:rPr>
                <w:b/>
                <w:color w:val="000000" w:themeColor="text1"/>
                <w:sz w:val="22"/>
              </w:rPr>
              <w:t>Barriers/Enablers</w:t>
            </w:r>
          </w:p>
        </w:tc>
      </w:tr>
      <w:tr w:rsidR="009637F8" w14:paraId="3BA263A9" w14:textId="1AFE07B8" w:rsidTr="00344708">
        <w:tc>
          <w:tcPr>
            <w:tcW w:w="6824" w:type="dxa"/>
            <w:vAlign w:val="center"/>
          </w:tcPr>
          <w:p w14:paraId="378BA3CC" w14:textId="6F76CA59" w:rsidR="00344708" w:rsidRPr="00904177" w:rsidRDefault="00344708" w:rsidP="006502E0">
            <w:pPr>
              <w:pStyle w:val="CommentText"/>
              <w:rPr>
                <w:b/>
                <w:color w:val="000000" w:themeColor="text1"/>
                <w:sz w:val="22"/>
              </w:rPr>
            </w:pPr>
            <w:r w:rsidRPr="00904177">
              <w:rPr>
                <w:i/>
                <w:sz w:val="20"/>
              </w:rPr>
              <w:t>The percentage of savings and loan group members who have taken out a loan and have jointly decide with their spouse/partner how to spend the money they’ve borrowed</w:t>
            </w:r>
          </w:p>
        </w:tc>
        <w:tc>
          <w:tcPr>
            <w:tcW w:w="2522" w:type="dxa"/>
            <w:vAlign w:val="center"/>
          </w:tcPr>
          <w:p w14:paraId="03179B03" w14:textId="0F22A803" w:rsidR="00344708" w:rsidRPr="00904177" w:rsidRDefault="00344708" w:rsidP="00600F9E">
            <w:pPr>
              <w:pStyle w:val="CommentText"/>
              <w:rPr>
                <w:i/>
                <w:sz w:val="20"/>
              </w:rPr>
            </w:pPr>
            <w:r w:rsidRPr="00904177">
              <w:rPr>
                <w:b/>
                <w:color w:val="000000" w:themeColor="text1"/>
                <w:sz w:val="22"/>
              </w:rPr>
              <w:t>Practices</w:t>
            </w:r>
          </w:p>
        </w:tc>
      </w:tr>
      <w:tr w:rsidR="009637F8" w14:paraId="0DE96745" w14:textId="6C605E8F" w:rsidTr="00344708">
        <w:tc>
          <w:tcPr>
            <w:tcW w:w="6824" w:type="dxa"/>
            <w:vAlign w:val="center"/>
          </w:tcPr>
          <w:p w14:paraId="5FD60C42" w14:textId="3B3DA31B" w:rsidR="00344708" w:rsidRPr="00904177" w:rsidRDefault="00344708" w:rsidP="006502E0">
            <w:pPr>
              <w:pStyle w:val="CommentText"/>
              <w:rPr>
                <w:b/>
                <w:color w:val="000000" w:themeColor="text1"/>
                <w:sz w:val="22"/>
              </w:rPr>
            </w:pPr>
            <w:r w:rsidRPr="00904177">
              <w:rPr>
                <w:i/>
                <w:sz w:val="20"/>
              </w:rPr>
              <w:t>Percentage of family income devoted to the schooling, health care and feeding of children under two in the past two weeks.</w:t>
            </w:r>
          </w:p>
        </w:tc>
        <w:tc>
          <w:tcPr>
            <w:tcW w:w="2522" w:type="dxa"/>
            <w:vAlign w:val="center"/>
          </w:tcPr>
          <w:p w14:paraId="31A123DB" w14:textId="3F9442CC" w:rsidR="00344708" w:rsidRPr="00904177" w:rsidRDefault="00344708" w:rsidP="006502E0">
            <w:pPr>
              <w:pStyle w:val="CommentText"/>
              <w:rPr>
                <w:i/>
                <w:sz w:val="20"/>
              </w:rPr>
            </w:pPr>
            <w:r w:rsidRPr="00904177">
              <w:rPr>
                <w:b/>
                <w:color w:val="000000" w:themeColor="text1"/>
                <w:sz w:val="22"/>
              </w:rPr>
              <w:t>Higher-level outcomes</w:t>
            </w:r>
          </w:p>
        </w:tc>
      </w:tr>
      <w:tr w:rsidR="009637F8" w14:paraId="290E34C6" w14:textId="6D46E3F8" w:rsidTr="00344708">
        <w:tc>
          <w:tcPr>
            <w:tcW w:w="6824" w:type="dxa"/>
            <w:vAlign w:val="center"/>
          </w:tcPr>
          <w:p w14:paraId="4E2B8C52" w14:textId="46A71681" w:rsidR="00344708" w:rsidRPr="00904177" w:rsidRDefault="00344708" w:rsidP="006502E0">
            <w:pPr>
              <w:pStyle w:val="CommentText"/>
              <w:rPr>
                <w:b/>
                <w:color w:val="000000" w:themeColor="text1"/>
                <w:sz w:val="22"/>
              </w:rPr>
            </w:pPr>
            <w:r w:rsidRPr="00904177">
              <w:rPr>
                <w:i/>
                <w:sz w:val="20"/>
              </w:rPr>
              <w:t>Percentage of new users of micro-drip irrigation who say that they are “very pleased” with their decision to adopt micro-drip irrigation.</w:t>
            </w:r>
          </w:p>
        </w:tc>
        <w:tc>
          <w:tcPr>
            <w:tcW w:w="2522" w:type="dxa"/>
            <w:vAlign w:val="center"/>
          </w:tcPr>
          <w:p w14:paraId="77B2FFDA" w14:textId="35D35F6E" w:rsidR="00344708" w:rsidRPr="00904177" w:rsidRDefault="00344708" w:rsidP="002565C3">
            <w:pPr>
              <w:pStyle w:val="CommentText"/>
              <w:rPr>
                <w:i/>
                <w:sz w:val="20"/>
              </w:rPr>
            </w:pPr>
            <w:r w:rsidRPr="00904177">
              <w:rPr>
                <w:b/>
                <w:color w:val="000000" w:themeColor="text1"/>
                <w:sz w:val="22"/>
              </w:rPr>
              <w:t>Acceptability</w:t>
            </w:r>
          </w:p>
        </w:tc>
      </w:tr>
      <w:tr w:rsidR="009637F8" w14:paraId="3D19B823" w14:textId="6E370D7E" w:rsidTr="00344708">
        <w:tc>
          <w:tcPr>
            <w:tcW w:w="6824" w:type="dxa"/>
            <w:vAlign w:val="center"/>
          </w:tcPr>
          <w:p w14:paraId="210B5D08" w14:textId="13172896" w:rsidR="00344708" w:rsidRPr="00904177" w:rsidRDefault="00344708" w:rsidP="006502E0">
            <w:pPr>
              <w:pStyle w:val="CommentText"/>
              <w:rPr>
                <w:b/>
                <w:color w:val="000000" w:themeColor="text1"/>
                <w:sz w:val="22"/>
              </w:rPr>
            </w:pPr>
            <w:r w:rsidRPr="00904177">
              <w:rPr>
                <w:i/>
                <w:sz w:val="20"/>
              </w:rPr>
              <w:t xml:space="preserve">Percentage of micro-drip irrigation systems </w:t>
            </w:r>
            <w:proofErr w:type="gramStart"/>
            <w:r w:rsidRPr="00904177">
              <w:rPr>
                <w:i/>
                <w:sz w:val="20"/>
              </w:rPr>
              <w:t>that were</w:t>
            </w:r>
            <w:proofErr w:type="gramEnd"/>
            <w:r w:rsidRPr="00904177">
              <w:rPr>
                <w:i/>
                <w:sz w:val="20"/>
              </w:rPr>
              <w:t xml:space="preserve"> clog-free in the past month.</w:t>
            </w:r>
          </w:p>
        </w:tc>
        <w:tc>
          <w:tcPr>
            <w:tcW w:w="2522" w:type="dxa"/>
            <w:vAlign w:val="center"/>
          </w:tcPr>
          <w:p w14:paraId="4BFCD239" w14:textId="0900D834" w:rsidR="00344708" w:rsidRPr="00904177" w:rsidRDefault="00344708" w:rsidP="006502E0">
            <w:pPr>
              <w:pStyle w:val="CommentText"/>
              <w:rPr>
                <w:i/>
                <w:sz w:val="20"/>
              </w:rPr>
            </w:pPr>
            <w:r w:rsidRPr="00904177">
              <w:rPr>
                <w:b/>
                <w:color w:val="000000" w:themeColor="text1"/>
                <w:sz w:val="22"/>
              </w:rPr>
              <w:t>Quality of goods and services</w:t>
            </w:r>
          </w:p>
        </w:tc>
      </w:tr>
    </w:tbl>
    <w:p w14:paraId="3D17BDC8" w14:textId="24F211F4" w:rsidR="003C5FD4" w:rsidRDefault="003C5FD4" w:rsidP="00157EE6">
      <w:pPr>
        <w:pStyle w:val="CommentText"/>
        <w:rPr>
          <w:color w:val="0432FF"/>
        </w:rPr>
      </w:pPr>
    </w:p>
    <w:p w14:paraId="34C7F0C5" w14:textId="5D728E3A" w:rsidR="003C5FD4" w:rsidRPr="00B21283" w:rsidRDefault="00B21283" w:rsidP="00B21283">
      <w:pPr>
        <w:pStyle w:val="CommentText"/>
        <w:rPr>
          <w:b/>
          <w:color w:val="0432FF"/>
        </w:rPr>
      </w:pPr>
      <w:r>
        <w:rPr>
          <w:b/>
          <w:color w:val="0432FF"/>
        </w:rPr>
        <w:lastRenderedPageBreak/>
        <w:t xml:space="preserve">Here is a </w:t>
      </w:r>
      <w:r w:rsidR="003C5FD4" w:rsidRPr="00B21283">
        <w:rPr>
          <w:b/>
          <w:color w:val="0432FF"/>
        </w:rPr>
        <w:t xml:space="preserve">Summary Matrix </w:t>
      </w:r>
      <w:r>
        <w:rPr>
          <w:b/>
          <w:color w:val="0432FF"/>
        </w:rPr>
        <w:t>which a project can use specifically to monitor changes in priority practices, and their determinants (barriers and enablers).</w:t>
      </w:r>
    </w:p>
    <w:p w14:paraId="756C76AD" w14:textId="77777777" w:rsidR="003C5FD4" w:rsidRPr="00CF22DB" w:rsidRDefault="003C5FD4" w:rsidP="003C5FD4">
      <w:pPr>
        <w:rPr>
          <w:rFonts w:cs="Arial"/>
        </w:rPr>
      </w:pPr>
    </w:p>
    <w:tbl>
      <w:tblPr>
        <w:tblW w:w="93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68"/>
        <w:gridCol w:w="1477"/>
        <w:gridCol w:w="1248"/>
        <w:gridCol w:w="1926"/>
        <w:gridCol w:w="1251"/>
        <w:gridCol w:w="1190"/>
      </w:tblGrid>
      <w:tr w:rsidR="003C5FD4" w:rsidRPr="003A27C9" w14:paraId="590AD929" w14:textId="77777777" w:rsidTr="00626890">
        <w:trPr>
          <w:cantSplit/>
        </w:trPr>
        <w:tc>
          <w:tcPr>
            <w:tcW w:w="2268" w:type="dxa"/>
            <w:vMerge w:val="restart"/>
            <w:shd w:val="clear" w:color="auto" w:fill="auto"/>
          </w:tcPr>
          <w:p w14:paraId="5D11C521" w14:textId="77777777" w:rsidR="003C5FD4" w:rsidRPr="003A27C9" w:rsidRDefault="003C5FD4" w:rsidP="00626890">
            <w:pPr>
              <w:rPr>
                <w:rFonts w:cs="Arial"/>
                <w:b/>
              </w:rPr>
            </w:pPr>
            <w:r>
              <w:rPr>
                <w:rFonts w:cs="Arial"/>
                <w:b/>
              </w:rPr>
              <w:t xml:space="preserve">Priority Practices </w:t>
            </w:r>
          </w:p>
        </w:tc>
        <w:tc>
          <w:tcPr>
            <w:tcW w:w="2725" w:type="dxa"/>
            <w:gridSpan w:val="2"/>
            <w:shd w:val="clear" w:color="auto" w:fill="auto"/>
          </w:tcPr>
          <w:p w14:paraId="0DC46D9D" w14:textId="77777777" w:rsidR="003C5FD4" w:rsidRPr="003A27C9" w:rsidRDefault="003C5FD4" w:rsidP="00626890">
            <w:pPr>
              <w:rPr>
                <w:rFonts w:cs="Arial"/>
                <w:b/>
              </w:rPr>
            </w:pPr>
            <w:r>
              <w:rPr>
                <w:rFonts w:cs="Arial"/>
                <w:b/>
              </w:rPr>
              <w:t>Indicators</w:t>
            </w:r>
          </w:p>
        </w:tc>
        <w:tc>
          <w:tcPr>
            <w:tcW w:w="1926" w:type="dxa"/>
            <w:shd w:val="clear" w:color="auto" w:fill="auto"/>
          </w:tcPr>
          <w:p w14:paraId="43ADE5B8" w14:textId="77777777" w:rsidR="003C5FD4" w:rsidRPr="003A27C9" w:rsidRDefault="003C5FD4" w:rsidP="00626890">
            <w:pPr>
              <w:rPr>
                <w:rFonts w:cs="Arial"/>
                <w:b/>
              </w:rPr>
            </w:pPr>
            <w:r>
              <w:rPr>
                <w:rFonts w:cs="Arial"/>
                <w:b/>
              </w:rPr>
              <w:t>Barriers and Enablers (Determinants)</w:t>
            </w:r>
          </w:p>
        </w:tc>
        <w:tc>
          <w:tcPr>
            <w:tcW w:w="2441" w:type="dxa"/>
            <w:gridSpan w:val="2"/>
          </w:tcPr>
          <w:p w14:paraId="01529AD7" w14:textId="77777777" w:rsidR="003C5FD4" w:rsidRPr="003A27C9" w:rsidRDefault="003C5FD4" w:rsidP="00626890">
            <w:pPr>
              <w:rPr>
                <w:rFonts w:cs="Arial"/>
                <w:b/>
              </w:rPr>
            </w:pPr>
            <w:r>
              <w:rPr>
                <w:rFonts w:cs="Arial"/>
                <w:b/>
              </w:rPr>
              <w:t>Indicators</w:t>
            </w:r>
          </w:p>
        </w:tc>
      </w:tr>
      <w:tr w:rsidR="003C5FD4" w:rsidRPr="003A27C9" w14:paraId="107CE1BF" w14:textId="77777777" w:rsidTr="00626890">
        <w:trPr>
          <w:cantSplit/>
        </w:trPr>
        <w:tc>
          <w:tcPr>
            <w:tcW w:w="2268" w:type="dxa"/>
            <w:vMerge/>
            <w:shd w:val="clear" w:color="auto" w:fill="auto"/>
          </w:tcPr>
          <w:p w14:paraId="1039D66F" w14:textId="77777777" w:rsidR="003C5FD4" w:rsidRPr="003A27C9" w:rsidRDefault="003C5FD4" w:rsidP="00626890">
            <w:pPr>
              <w:rPr>
                <w:rFonts w:cs="Arial"/>
                <w:b/>
              </w:rPr>
            </w:pPr>
          </w:p>
        </w:tc>
        <w:tc>
          <w:tcPr>
            <w:tcW w:w="1477" w:type="dxa"/>
            <w:shd w:val="clear" w:color="auto" w:fill="auto"/>
          </w:tcPr>
          <w:p w14:paraId="15E42BC8" w14:textId="77777777" w:rsidR="003C5FD4" w:rsidRPr="003A27C9" w:rsidRDefault="003C5FD4" w:rsidP="00626890">
            <w:pPr>
              <w:rPr>
                <w:rFonts w:cs="Arial"/>
                <w:b/>
              </w:rPr>
            </w:pPr>
            <w:r>
              <w:rPr>
                <w:rFonts w:cs="Arial"/>
                <w:b/>
              </w:rPr>
              <w:t>Baseline</w:t>
            </w:r>
          </w:p>
        </w:tc>
        <w:tc>
          <w:tcPr>
            <w:tcW w:w="1248" w:type="dxa"/>
            <w:shd w:val="clear" w:color="auto" w:fill="auto"/>
          </w:tcPr>
          <w:p w14:paraId="6D7047C2" w14:textId="77777777" w:rsidR="003C5FD4" w:rsidRPr="003A27C9" w:rsidRDefault="003C5FD4" w:rsidP="00626890">
            <w:pPr>
              <w:rPr>
                <w:rFonts w:cs="Arial"/>
                <w:b/>
              </w:rPr>
            </w:pPr>
            <w:r>
              <w:rPr>
                <w:rFonts w:cs="Arial"/>
                <w:b/>
              </w:rPr>
              <w:t>Current</w:t>
            </w:r>
          </w:p>
        </w:tc>
        <w:tc>
          <w:tcPr>
            <w:tcW w:w="1926" w:type="dxa"/>
            <w:shd w:val="clear" w:color="auto" w:fill="auto"/>
          </w:tcPr>
          <w:p w14:paraId="077DCED9" w14:textId="77777777" w:rsidR="003C5FD4" w:rsidRPr="003A27C9" w:rsidRDefault="003C5FD4" w:rsidP="00626890">
            <w:pPr>
              <w:rPr>
                <w:rFonts w:cs="Arial"/>
                <w:b/>
              </w:rPr>
            </w:pPr>
          </w:p>
        </w:tc>
        <w:tc>
          <w:tcPr>
            <w:tcW w:w="1251" w:type="dxa"/>
          </w:tcPr>
          <w:p w14:paraId="00750792" w14:textId="77777777" w:rsidR="003C5FD4" w:rsidRPr="003A27C9" w:rsidRDefault="003C5FD4" w:rsidP="00626890">
            <w:pPr>
              <w:rPr>
                <w:rFonts w:cs="Arial"/>
                <w:b/>
              </w:rPr>
            </w:pPr>
            <w:r>
              <w:rPr>
                <w:rFonts w:cs="Arial"/>
                <w:b/>
              </w:rPr>
              <w:t>Baseline</w:t>
            </w:r>
          </w:p>
        </w:tc>
        <w:tc>
          <w:tcPr>
            <w:tcW w:w="1190" w:type="dxa"/>
          </w:tcPr>
          <w:p w14:paraId="24B00A03" w14:textId="77777777" w:rsidR="003C5FD4" w:rsidRPr="003A27C9" w:rsidRDefault="003C5FD4" w:rsidP="00626890">
            <w:pPr>
              <w:rPr>
                <w:rFonts w:cs="Arial"/>
                <w:b/>
              </w:rPr>
            </w:pPr>
            <w:r>
              <w:rPr>
                <w:rFonts w:cs="Arial"/>
                <w:b/>
              </w:rPr>
              <w:t>Current</w:t>
            </w:r>
          </w:p>
        </w:tc>
      </w:tr>
      <w:tr w:rsidR="003C5FD4" w:rsidRPr="003A27C9" w14:paraId="1A27AE71" w14:textId="77777777" w:rsidTr="00626890">
        <w:trPr>
          <w:cantSplit/>
        </w:trPr>
        <w:tc>
          <w:tcPr>
            <w:tcW w:w="2268" w:type="dxa"/>
            <w:shd w:val="clear" w:color="auto" w:fill="auto"/>
          </w:tcPr>
          <w:p w14:paraId="21ED1466" w14:textId="77777777" w:rsidR="003C5FD4" w:rsidRDefault="003C5FD4" w:rsidP="00626890">
            <w:pPr>
              <w:rPr>
                <w:rFonts w:cs="Arial"/>
                <w:b/>
              </w:rPr>
            </w:pPr>
          </w:p>
          <w:p w14:paraId="1F344B23" w14:textId="77777777" w:rsidR="003C5FD4" w:rsidRDefault="003C5FD4" w:rsidP="00626890">
            <w:pPr>
              <w:rPr>
                <w:rFonts w:cs="Arial"/>
                <w:b/>
              </w:rPr>
            </w:pPr>
          </w:p>
          <w:p w14:paraId="343330C8" w14:textId="77777777" w:rsidR="003C5FD4" w:rsidRDefault="003C5FD4" w:rsidP="00626890">
            <w:pPr>
              <w:rPr>
                <w:rFonts w:cs="Arial"/>
                <w:b/>
              </w:rPr>
            </w:pPr>
          </w:p>
          <w:p w14:paraId="2AE3272F" w14:textId="77777777" w:rsidR="003C5FD4" w:rsidRDefault="003C5FD4" w:rsidP="00626890">
            <w:pPr>
              <w:rPr>
                <w:rFonts w:cs="Arial"/>
                <w:b/>
              </w:rPr>
            </w:pPr>
          </w:p>
          <w:p w14:paraId="676312F2" w14:textId="77777777" w:rsidR="003C5FD4" w:rsidRDefault="003C5FD4" w:rsidP="00626890">
            <w:pPr>
              <w:rPr>
                <w:rFonts w:cs="Arial"/>
                <w:b/>
              </w:rPr>
            </w:pPr>
          </w:p>
          <w:p w14:paraId="5EDAC071" w14:textId="77777777" w:rsidR="003C5FD4" w:rsidRPr="003A27C9" w:rsidRDefault="003C5FD4" w:rsidP="00626890">
            <w:pPr>
              <w:rPr>
                <w:rFonts w:cs="Arial"/>
                <w:b/>
              </w:rPr>
            </w:pPr>
          </w:p>
        </w:tc>
        <w:tc>
          <w:tcPr>
            <w:tcW w:w="1477" w:type="dxa"/>
            <w:shd w:val="clear" w:color="auto" w:fill="auto"/>
          </w:tcPr>
          <w:p w14:paraId="09158E37" w14:textId="77777777" w:rsidR="003C5FD4" w:rsidRPr="003A27C9" w:rsidRDefault="003C5FD4" w:rsidP="00626890">
            <w:pPr>
              <w:rPr>
                <w:rFonts w:cs="Arial"/>
                <w:b/>
              </w:rPr>
            </w:pPr>
          </w:p>
        </w:tc>
        <w:tc>
          <w:tcPr>
            <w:tcW w:w="1248" w:type="dxa"/>
            <w:shd w:val="clear" w:color="auto" w:fill="auto"/>
          </w:tcPr>
          <w:p w14:paraId="1AFD7B52" w14:textId="77777777" w:rsidR="003C5FD4" w:rsidRPr="003A27C9" w:rsidRDefault="003C5FD4" w:rsidP="00626890">
            <w:pPr>
              <w:rPr>
                <w:rFonts w:cs="Arial"/>
                <w:b/>
              </w:rPr>
            </w:pPr>
          </w:p>
        </w:tc>
        <w:tc>
          <w:tcPr>
            <w:tcW w:w="1926" w:type="dxa"/>
            <w:shd w:val="clear" w:color="auto" w:fill="auto"/>
          </w:tcPr>
          <w:p w14:paraId="0970BA21" w14:textId="77777777" w:rsidR="003C5FD4" w:rsidRPr="003A27C9" w:rsidRDefault="003C5FD4" w:rsidP="00626890">
            <w:pPr>
              <w:rPr>
                <w:rFonts w:cs="Arial"/>
                <w:b/>
              </w:rPr>
            </w:pPr>
          </w:p>
        </w:tc>
        <w:tc>
          <w:tcPr>
            <w:tcW w:w="1251" w:type="dxa"/>
          </w:tcPr>
          <w:p w14:paraId="44A14673" w14:textId="77777777" w:rsidR="003C5FD4" w:rsidRPr="003A27C9" w:rsidRDefault="003C5FD4" w:rsidP="00626890">
            <w:pPr>
              <w:rPr>
                <w:rFonts w:cs="Arial"/>
                <w:b/>
              </w:rPr>
            </w:pPr>
          </w:p>
        </w:tc>
        <w:tc>
          <w:tcPr>
            <w:tcW w:w="1190" w:type="dxa"/>
          </w:tcPr>
          <w:p w14:paraId="7A188809" w14:textId="77777777" w:rsidR="003C5FD4" w:rsidRPr="003A27C9" w:rsidRDefault="003C5FD4" w:rsidP="00626890">
            <w:pPr>
              <w:rPr>
                <w:rFonts w:cs="Arial"/>
                <w:b/>
              </w:rPr>
            </w:pPr>
          </w:p>
        </w:tc>
      </w:tr>
      <w:tr w:rsidR="003C5FD4" w:rsidRPr="003A27C9" w14:paraId="21CB8AA1" w14:textId="77777777" w:rsidTr="00626890">
        <w:trPr>
          <w:cantSplit/>
        </w:trPr>
        <w:tc>
          <w:tcPr>
            <w:tcW w:w="2268" w:type="dxa"/>
            <w:shd w:val="clear" w:color="auto" w:fill="auto"/>
          </w:tcPr>
          <w:p w14:paraId="7F5BF18D" w14:textId="77777777" w:rsidR="003C5FD4" w:rsidRDefault="003C5FD4" w:rsidP="00626890">
            <w:pPr>
              <w:rPr>
                <w:rFonts w:cs="Arial"/>
                <w:b/>
              </w:rPr>
            </w:pPr>
          </w:p>
          <w:p w14:paraId="054E9986" w14:textId="77777777" w:rsidR="003C5FD4" w:rsidRDefault="003C5FD4" w:rsidP="00626890">
            <w:pPr>
              <w:rPr>
                <w:rFonts w:cs="Arial"/>
                <w:b/>
              </w:rPr>
            </w:pPr>
          </w:p>
          <w:p w14:paraId="3364615A" w14:textId="77777777" w:rsidR="003C5FD4" w:rsidRDefault="003C5FD4" w:rsidP="00626890">
            <w:pPr>
              <w:rPr>
                <w:rFonts w:cs="Arial"/>
                <w:b/>
              </w:rPr>
            </w:pPr>
          </w:p>
          <w:p w14:paraId="2CF791F6" w14:textId="77777777" w:rsidR="003C5FD4" w:rsidRDefault="003C5FD4" w:rsidP="00626890">
            <w:pPr>
              <w:rPr>
                <w:rFonts w:cs="Arial"/>
                <w:b/>
              </w:rPr>
            </w:pPr>
          </w:p>
          <w:p w14:paraId="30A76329" w14:textId="77777777" w:rsidR="003C5FD4" w:rsidRDefault="003C5FD4" w:rsidP="00626890">
            <w:pPr>
              <w:rPr>
                <w:rFonts w:cs="Arial"/>
                <w:b/>
              </w:rPr>
            </w:pPr>
          </w:p>
          <w:p w14:paraId="2093D8BD" w14:textId="77777777" w:rsidR="003C5FD4" w:rsidRDefault="003C5FD4" w:rsidP="00626890">
            <w:pPr>
              <w:rPr>
                <w:rFonts w:cs="Arial"/>
                <w:b/>
              </w:rPr>
            </w:pPr>
          </w:p>
          <w:p w14:paraId="62EE9104" w14:textId="77777777" w:rsidR="003C5FD4" w:rsidRPr="003A27C9" w:rsidRDefault="003C5FD4" w:rsidP="00626890">
            <w:pPr>
              <w:rPr>
                <w:rFonts w:cs="Arial"/>
                <w:b/>
              </w:rPr>
            </w:pPr>
          </w:p>
        </w:tc>
        <w:tc>
          <w:tcPr>
            <w:tcW w:w="1477" w:type="dxa"/>
            <w:shd w:val="clear" w:color="auto" w:fill="auto"/>
          </w:tcPr>
          <w:p w14:paraId="753E35CB" w14:textId="77777777" w:rsidR="003C5FD4" w:rsidRPr="003A27C9" w:rsidRDefault="003C5FD4" w:rsidP="00626890">
            <w:pPr>
              <w:rPr>
                <w:rFonts w:cs="Arial"/>
                <w:b/>
              </w:rPr>
            </w:pPr>
          </w:p>
        </w:tc>
        <w:tc>
          <w:tcPr>
            <w:tcW w:w="1248" w:type="dxa"/>
            <w:shd w:val="clear" w:color="auto" w:fill="auto"/>
          </w:tcPr>
          <w:p w14:paraId="6EA2A9CD" w14:textId="77777777" w:rsidR="003C5FD4" w:rsidRPr="003A27C9" w:rsidRDefault="003C5FD4" w:rsidP="00626890">
            <w:pPr>
              <w:rPr>
                <w:rFonts w:cs="Arial"/>
                <w:b/>
              </w:rPr>
            </w:pPr>
          </w:p>
        </w:tc>
        <w:tc>
          <w:tcPr>
            <w:tcW w:w="1926" w:type="dxa"/>
            <w:shd w:val="clear" w:color="auto" w:fill="auto"/>
          </w:tcPr>
          <w:p w14:paraId="7158FD74" w14:textId="77777777" w:rsidR="003C5FD4" w:rsidRPr="003A27C9" w:rsidRDefault="003C5FD4" w:rsidP="00626890">
            <w:pPr>
              <w:rPr>
                <w:rFonts w:cs="Arial"/>
                <w:b/>
              </w:rPr>
            </w:pPr>
          </w:p>
        </w:tc>
        <w:tc>
          <w:tcPr>
            <w:tcW w:w="1251" w:type="dxa"/>
          </w:tcPr>
          <w:p w14:paraId="7E003F33" w14:textId="77777777" w:rsidR="003C5FD4" w:rsidRPr="003A27C9" w:rsidRDefault="003C5FD4" w:rsidP="00626890">
            <w:pPr>
              <w:rPr>
                <w:rFonts w:cs="Arial"/>
                <w:b/>
              </w:rPr>
            </w:pPr>
          </w:p>
        </w:tc>
        <w:tc>
          <w:tcPr>
            <w:tcW w:w="1190" w:type="dxa"/>
          </w:tcPr>
          <w:p w14:paraId="6A8595AA" w14:textId="77777777" w:rsidR="003C5FD4" w:rsidRPr="003A27C9" w:rsidRDefault="003C5FD4" w:rsidP="00626890">
            <w:pPr>
              <w:rPr>
                <w:rFonts w:cs="Arial"/>
                <w:b/>
              </w:rPr>
            </w:pPr>
          </w:p>
        </w:tc>
      </w:tr>
      <w:tr w:rsidR="003C5FD4" w:rsidRPr="003A27C9" w14:paraId="1DBA62DB" w14:textId="77777777" w:rsidTr="00626890">
        <w:trPr>
          <w:cantSplit/>
        </w:trPr>
        <w:tc>
          <w:tcPr>
            <w:tcW w:w="2268" w:type="dxa"/>
            <w:shd w:val="clear" w:color="auto" w:fill="auto"/>
          </w:tcPr>
          <w:p w14:paraId="1891FD3C" w14:textId="77777777" w:rsidR="003C5FD4" w:rsidRDefault="003C5FD4" w:rsidP="00626890">
            <w:pPr>
              <w:rPr>
                <w:rFonts w:cs="Arial"/>
                <w:b/>
              </w:rPr>
            </w:pPr>
          </w:p>
          <w:p w14:paraId="33ACA9DC" w14:textId="77777777" w:rsidR="003C5FD4" w:rsidRDefault="003C5FD4" w:rsidP="00626890">
            <w:pPr>
              <w:rPr>
                <w:rFonts w:cs="Arial"/>
                <w:b/>
              </w:rPr>
            </w:pPr>
          </w:p>
          <w:p w14:paraId="01FD2635" w14:textId="77777777" w:rsidR="003C5FD4" w:rsidRDefault="003C5FD4" w:rsidP="00626890">
            <w:pPr>
              <w:rPr>
                <w:rFonts w:cs="Arial"/>
                <w:b/>
              </w:rPr>
            </w:pPr>
          </w:p>
          <w:p w14:paraId="67AF6517" w14:textId="77777777" w:rsidR="003C5FD4" w:rsidRDefault="003C5FD4" w:rsidP="00626890">
            <w:pPr>
              <w:rPr>
                <w:rFonts w:cs="Arial"/>
                <w:b/>
              </w:rPr>
            </w:pPr>
          </w:p>
          <w:p w14:paraId="4EC61925" w14:textId="77777777" w:rsidR="003C5FD4" w:rsidRDefault="003C5FD4" w:rsidP="00626890">
            <w:pPr>
              <w:rPr>
                <w:rFonts w:cs="Arial"/>
                <w:b/>
              </w:rPr>
            </w:pPr>
          </w:p>
          <w:p w14:paraId="20BF7F9A" w14:textId="77777777" w:rsidR="003C5FD4" w:rsidRDefault="003C5FD4" w:rsidP="00626890">
            <w:pPr>
              <w:rPr>
                <w:rFonts w:cs="Arial"/>
                <w:b/>
              </w:rPr>
            </w:pPr>
          </w:p>
          <w:p w14:paraId="6D8F04A5" w14:textId="77777777" w:rsidR="003C5FD4" w:rsidRPr="003A27C9" w:rsidRDefault="003C5FD4" w:rsidP="00626890">
            <w:pPr>
              <w:rPr>
                <w:rFonts w:cs="Arial"/>
                <w:b/>
              </w:rPr>
            </w:pPr>
          </w:p>
        </w:tc>
        <w:tc>
          <w:tcPr>
            <w:tcW w:w="1477" w:type="dxa"/>
            <w:shd w:val="clear" w:color="auto" w:fill="auto"/>
          </w:tcPr>
          <w:p w14:paraId="22B215A5" w14:textId="77777777" w:rsidR="003C5FD4" w:rsidRPr="003A27C9" w:rsidRDefault="003C5FD4" w:rsidP="00626890">
            <w:pPr>
              <w:rPr>
                <w:rFonts w:cs="Arial"/>
                <w:b/>
              </w:rPr>
            </w:pPr>
          </w:p>
        </w:tc>
        <w:tc>
          <w:tcPr>
            <w:tcW w:w="1248" w:type="dxa"/>
            <w:shd w:val="clear" w:color="auto" w:fill="auto"/>
          </w:tcPr>
          <w:p w14:paraId="24F51D68" w14:textId="77777777" w:rsidR="003C5FD4" w:rsidRPr="003A27C9" w:rsidRDefault="003C5FD4" w:rsidP="00626890">
            <w:pPr>
              <w:rPr>
                <w:rFonts w:cs="Arial"/>
                <w:b/>
              </w:rPr>
            </w:pPr>
          </w:p>
        </w:tc>
        <w:tc>
          <w:tcPr>
            <w:tcW w:w="1926" w:type="dxa"/>
            <w:shd w:val="clear" w:color="auto" w:fill="auto"/>
          </w:tcPr>
          <w:p w14:paraId="6A75D6AD" w14:textId="77777777" w:rsidR="003C5FD4" w:rsidRPr="003A27C9" w:rsidRDefault="003C5FD4" w:rsidP="00626890">
            <w:pPr>
              <w:rPr>
                <w:rFonts w:cs="Arial"/>
                <w:b/>
              </w:rPr>
            </w:pPr>
          </w:p>
        </w:tc>
        <w:tc>
          <w:tcPr>
            <w:tcW w:w="1251" w:type="dxa"/>
          </w:tcPr>
          <w:p w14:paraId="45B99805" w14:textId="77777777" w:rsidR="003C5FD4" w:rsidRPr="003A27C9" w:rsidRDefault="003C5FD4" w:rsidP="00626890">
            <w:pPr>
              <w:rPr>
                <w:rFonts w:cs="Arial"/>
                <w:b/>
              </w:rPr>
            </w:pPr>
          </w:p>
        </w:tc>
        <w:tc>
          <w:tcPr>
            <w:tcW w:w="1190" w:type="dxa"/>
          </w:tcPr>
          <w:p w14:paraId="7C09C43D" w14:textId="77777777" w:rsidR="003C5FD4" w:rsidRPr="003A27C9" w:rsidRDefault="003C5FD4" w:rsidP="00626890">
            <w:pPr>
              <w:rPr>
                <w:rFonts w:cs="Arial"/>
                <w:b/>
              </w:rPr>
            </w:pPr>
          </w:p>
        </w:tc>
      </w:tr>
      <w:tr w:rsidR="003C5FD4" w:rsidRPr="003A27C9" w14:paraId="1EF1AA76" w14:textId="77777777" w:rsidTr="00626890">
        <w:trPr>
          <w:cantSplit/>
        </w:trPr>
        <w:tc>
          <w:tcPr>
            <w:tcW w:w="2268" w:type="dxa"/>
            <w:shd w:val="clear" w:color="auto" w:fill="auto"/>
          </w:tcPr>
          <w:p w14:paraId="126F276E" w14:textId="77777777" w:rsidR="003C5FD4" w:rsidRDefault="003C5FD4" w:rsidP="00626890">
            <w:pPr>
              <w:rPr>
                <w:rFonts w:cs="Arial"/>
                <w:b/>
              </w:rPr>
            </w:pPr>
          </w:p>
          <w:p w14:paraId="4D485F75" w14:textId="77777777" w:rsidR="003C5FD4" w:rsidRDefault="003C5FD4" w:rsidP="00626890">
            <w:pPr>
              <w:rPr>
                <w:rFonts w:cs="Arial"/>
                <w:b/>
              </w:rPr>
            </w:pPr>
          </w:p>
          <w:p w14:paraId="6C82E3B1" w14:textId="77777777" w:rsidR="003C5FD4" w:rsidRDefault="003C5FD4" w:rsidP="00626890">
            <w:pPr>
              <w:rPr>
                <w:rFonts w:cs="Arial"/>
                <w:b/>
              </w:rPr>
            </w:pPr>
          </w:p>
          <w:p w14:paraId="7465F57C" w14:textId="77777777" w:rsidR="003C5FD4" w:rsidRDefault="003C5FD4" w:rsidP="00626890">
            <w:pPr>
              <w:rPr>
                <w:rFonts w:cs="Arial"/>
                <w:b/>
              </w:rPr>
            </w:pPr>
          </w:p>
          <w:p w14:paraId="06877D60" w14:textId="77777777" w:rsidR="003C5FD4" w:rsidRDefault="003C5FD4" w:rsidP="00626890">
            <w:pPr>
              <w:rPr>
                <w:rFonts w:cs="Arial"/>
                <w:b/>
              </w:rPr>
            </w:pPr>
          </w:p>
          <w:p w14:paraId="16E191F0" w14:textId="77777777" w:rsidR="003C5FD4" w:rsidRDefault="003C5FD4" w:rsidP="00626890">
            <w:pPr>
              <w:rPr>
                <w:rFonts w:cs="Arial"/>
                <w:b/>
              </w:rPr>
            </w:pPr>
          </w:p>
          <w:p w14:paraId="66A8514B" w14:textId="77777777" w:rsidR="003C5FD4" w:rsidRPr="003A27C9" w:rsidRDefault="003C5FD4" w:rsidP="00626890">
            <w:pPr>
              <w:rPr>
                <w:rFonts w:cs="Arial"/>
                <w:b/>
              </w:rPr>
            </w:pPr>
          </w:p>
        </w:tc>
        <w:tc>
          <w:tcPr>
            <w:tcW w:w="1477" w:type="dxa"/>
            <w:shd w:val="clear" w:color="auto" w:fill="auto"/>
          </w:tcPr>
          <w:p w14:paraId="6243916C" w14:textId="77777777" w:rsidR="003C5FD4" w:rsidRPr="003A27C9" w:rsidRDefault="003C5FD4" w:rsidP="00626890">
            <w:pPr>
              <w:rPr>
                <w:rFonts w:cs="Arial"/>
                <w:b/>
              </w:rPr>
            </w:pPr>
          </w:p>
        </w:tc>
        <w:tc>
          <w:tcPr>
            <w:tcW w:w="1248" w:type="dxa"/>
            <w:shd w:val="clear" w:color="auto" w:fill="auto"/>
          </w:tcPr>
          <w:p w14:paraId="552EBAA5" w14:textId="77777777" w:rsidR="003C5FD4" w:rsidRPr="003A27C9" w:rsidRDefault="003C5FD4" w:rsidP="00626890">
            <w:pPr>
              <w:rPr>
                <w:rFonts w:cs="Arial"/>
                <w:b/>
              </w:rPr>
            </w:pPr>
          </w:p>
        </w:tc>
        <w:tc>
          <w:tcPr>
            <w:tcW w:w="1926" w:type="dxa"/>
            <w:shd w:val="clear" w:color="auto" w:fill="auto"/>
          </w:tcPr>
          <w:p w14:paraId="7CBB20AF" w14:textId="77777777" w:rsidR="003C5FD4" w:rsidRPr="003A27C9" w:rsidRDefault="003C5FD4" w:rsidP="00626890">
            <w:pPr>
              <w:rPr>
                <w:rFonts w:cs="Arial"/>
                <w:b/>
              </w:rPr>
            </w:pPr>
          </w:p>
        </w:tc>
        <w:tc>
          <w:tcPr>
            <w:tcW w:w="1251" w:type="dxa"/>
          </w:tcPr>
          <w:p w14:paraId="31E1C420" w14:textId="77777777" w:rsidR="003C5FD4" w:rsidRPr="003A27C9" w:rsidRDefault="003C5FD4" w:rsidP="00626890">
            <w:pPr>
              <w:rPr>
                <w:rFonts w:cs="Arial"/>
                <w:b/>
              </w:rPr>
            </w:pPr>
          </w:p>
        </w:tc>
        <w:tc>
          <w:tcPr>
            <w:tcW w:w="1190" w:type="dxa"/>
          </w:tcPr>
          <w:p w14:paraId="3D2DBE7E" w14:textId="77777777" w:rsidR="003C5FD4" w:rsidRPr="003A27C9" w:rsidRDefault="003C5FD4" w:rsidP="00626890">
            <w:pPr>
              <w:rPr>
                <w:rFonts w:cs="Arial"/>
                <w:b/>
              </w:rPr>
            </w:pPr>
          </w:p>
        </w:tc>
      </w:tr>
    </w:tbl>
    <w:p w14:paraId="507EA0F7" w14:textId="77777777" w:rsidR="006502E0" w:rsidRPr="004F2C04" w:rsidRDefault="006502E0" w:rsidP="00157EE6">
      <w:pPr>
        <w:pStyle w:val="CommentText"/>
        <w:rPr>
          <w:color w:val="0432FF"/>
        </w:rPr>
      </w:pPr>
    </w:p>
    <w:sectPr w:rsidR="006502E0" w:rsidRPr="004F2C04" w:rsidSect="00E56E59">
      <w:head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233D9" w14:textId="77777777" w:rsidR="002B6D26" w:rsidRDefault="002B6D26" w:rsidP="00171D75">
      <w:r>
        <w:separator/>
      </w:r>
    </w:p>
  </w:endnote>
  <w:endnote w:type="continuationSeparator" w:id="0">
    <w:p w14:paraId="04F24ECB" w14:textId="77777777" w:rsidR="002B6D26" w:rsidRDefault="002B6D26" w:rsidP="0017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5CF7B" w14:textId="77777777" w:rsidR="00E56E59" w:rsidRDefault="00E56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161122"/>
      <w:docPartObj>
        <w:docPartGallery w:val="Page Numbers (Bottom of Page)"/>
        <w:docPartUnique/>
      </w:docPartObj>
    </w:sdtPr>
    <w:sdtEndPr>
      <w:rPr>
        <w:noProof/>
      </w:rPr>
    </w:sdtEndPr>
    <w:sdtContent>
      <w:p w14:paraId="0C316474" w14:textId="0FB21C42" w:rsidR="00171D75" w:rsidRDefault="00171D75">
        <w:pPr>
          <w:pStyle w:val="Footer"/>
          <w:jc w:val="right"/>
        </w:pPr>
        <w:r>
          <w:fldChar w:fldCharType="begin"/>
        </w:r>
        <w:r>
          <w:instrText xml:space="preserve"> PAGE   \* MERGEFORMAT </w:instrText>
        </w:r>
        <w:r>
          <w:fldChar w:fldCharType="separate"/>
        </w:r>
        <w:r w:rsidR="00E56E59">
          <w:rPr>
            <w:noProof/>
          </w:rPr>
          <w:t>1</w:t>
        </w:r>
        <w:r>
          <w:rPr>
            <w:noProof/>
          </w:rPr>
          <w:fldChar w:fldCharType="end"/>
        </w:r>
      </w:p>
    </w:sdtContent>
  </w:sdt>
  <w:p w14:paraId="598C9A7B" w14:textId="77777777" w:rsidR="00171D75" w:rsidRDefault="00171D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A1069" w14:textId="77777777" w:rsidR="00E56E59" w:rsidRDefault="00E56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8B4B4" w14:textId="77777777" w:rsidR="002B6D26" w:rsidRDefault="002B6D26" w:rsidP="00171D75">
      <w:r>
        <w:separator/>
      </w:r>
    </w:p>
  </w:footnote>
  <w:footnote w:type="continuationSeparator" w:id="0">
    <w:p w14:paraId="00A8C538" w14:textId="77777777" w:rsidR="002B6D26" w:rsidRDefault="002B6D26" w:rsidP="00171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8B93A" w14:textId="77777777" w:rsidR="00E56E59" w:rsidRDefault="00E56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E78EF" w14:textId="767A60B1" w:rsidR="00E56E59" w:rsidRDefault="00E56E59">
    <w:pPr>
      <w:pStyle w:val="Header"/>
    </w:pPr>
    <w:r>
      <w:rPr>
        <w:noProof/>
      </w:rPr>
      <mc:AlternateContent>
        <mc:Choice Requires="wps">
          <w:drawing>
            <wp:anchor distT="0" distB="0" distL="114300" distR="114300" simplePos="0" relativeHeight="251659264" behindDoc="0" locked="0" layoutInCell="1" allowOverlap="1" wp14:anchorId="4FDC63CE" wp14:editId="002DD0FC">
              <wp:simplePos x="0" y="0"/>
              <wp:positionH relativeFrom="column">
                <wp:posOffset>144780</wp:posOffset>
              </wp:positionH>
              <wp:positionV relativeFrom="paragraph">
                <wp:posOffset>-289560</wp:posOffset>
              </wp:positionV>
              <wp:extent cx="6042660" cy="670560"/>
              <wp:effectExtent l="0" t="0" r="152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670560"/>
                      </a:xfrm>
                      <a:prstGeom prst="rect">
                        <a:avLst/>
                      </a:prstGeom>
                      <a:solidFill>
                        <a:schemeClr val="bg1">
                          <a:lumMod val="85000"/>
                        </a:schemeClr>
                      </a:solidFill>
                      <a:ln w="9525">
                        <a:solidFill>
                          <a:srgbClr val="000000"/>
                        </a:solidFill>
                        <a:miter lim="800000"/>
                        <a:headEnd/>
                        <a:tailEnd/>
                      </a:ln>
                    </wps:spPr>
                    <wps:txbx>
                      <w:txbxContent>
                        <w:p w14:paraId="6B4FEF9A" w14:textId="77777777" w:rsidR="00E56E59" w:rsidRDefault="00E56E59" w:rsidP="00E56E59">
                          <w:pPr>
                            <w:pStyle w:val="Footer"/>
                            <w:rPr>
                              <w:color w:val="808080" w:themeColor="background1" w:themeShade="80"/>
                            </w:rPr>
                          </w:pPr>
                          <w:r>
                            <w:rPr>
                              <w:b/>
                              <w:color w:val="808080" w:themeColor="background1" w:themeShade="80"/>
                            </w:rPr>
                            <w:t xml:space="preserve">This internal process document is shared as part of SPRING’s Nutrition SBC Strategy Library </w:t>
                          </w:r>
                        </w:p>
                        <w:p w14:paraId="74A7CF2B" w14:textId="77777777" w:rsidR="00E56E59" w:rsidRPr="00BF7CBD" w:rsidRDefault="00E56E59" w:rsidP="00E56E59">
                          <w:pPr>
                            <w:pStyle w:val="Footer"/>
                            <w:rPr>
                              <w:color w:val="808080" w:themeColor="background1" w:themeShade="80"/>
                            </w:rPr>
                          </w:pPr>
                          <w:r>
                            <w:rPr>
                              <w:color w:val="808080" w:themeColor="background1" w:themeShade="80"/>
                            </w:rPr>
                            <w:t>We invite you to share and adapt this document to your needs</w:t>
                          </w:r>
                          <w:r w:rsidRPr="00BF7CBD">
                            <w:rPr>
                              <w:color w:val="808080" w:themeColor="background1" w:themeShade="80"/>
                            </w:rPr>
                            <w:t>.</w:t>
                          </w:r>
                        </w:p>
                        <w:p w14:paraId="64C397EF" w14:textId="77777777" w:rsidR="00E56E59" w:rsidRPr="00BF7CBD" w:rsidRDefault="00E56E59" w:rsidP="00E56E59">
                          <w:pPr>
                            <w:pStyle w:val="Footer"/>
                            <w:rPr>
                              <w:color w:val="808080" w:themeColor="background1" w:themeShade="80"/>
                            </w:rPr>
                          </w:pPr>
                          <w:r w:rsidRPr="00BF7CBD">
                            <w:rPr>
                              <w:color w:val="808080" w:themeColor="background1" w:themeShade="80"/>
                            </w:rPr>
                            <w:t>Access the full SB</w:t>
                          </w:r>
                          <w:r>
                            <w:rPr>
                              <w:color w:val="808080" w:themeColor="background1" w:themeShade="80"/>
                            </w:rPr>
                            <w:t>C Strategy Library at</w:t>
                          </w:r>
                          <w:r w:rsidRPr="00BF7CBD">
                            <w:rPr>
                              <w:color w:val="808080" w:themeColor="background1" w:themeShade="80"/>
                            </w:rPr>
                            <w:t xml:space="preserve">: </w:t>
                          </w:r>
                          <w:r>
                            <w:rPr>
                              <w:color w:val="808080" w:themeColor="background1" w:themeShade="80"/>
                              <w:u w:val="single"/>
                            </w:rPr>
                            <w:t>www.spring-nutrition.org/sbc</w:t>
                          </w:r>
                          <w:r w:rsidRPr="00BF7CBD">
                            <w:rPr>
                              <w:color w:val="808080" w:themeColor="background1" w:themeShade="80"/>
                              <w:u w:val="single"/>
                            </w:rPr>
                            <w:t>_strategy_library</w:t>
                          </w:r>
                        </w:p>
                        <w:p w14:paraId="3EA89AA5" w14:textId="77777777" w:rsidR="00E56E59" w:rsidRPr="00BF7CBD" w:rsidRDefault="00E56E59" w:rsidP="00E56E59">
                          <w:pPr>
                            <w:pStyle w:val="Header"/>
                            <w:rPr>
                              <w:rFonts w:ascii="Arial" w:hAnsi="Arial" w:cs="Arial"/>
                              <w:color w:val="808080" w:themeColor="background1" w:themeShade="80"/>
                            </w:rPr>
                          </w:pPr>
                        </w:p>
                        <w:p w14:paraId="65417837" w14:textId="77777777" w:rsidR="00E56E59" w:rsidRPr="00BF7CBD" w:rsidRDefault="00E56E59" w:rsidP="00E56E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pt;margin-top:-22.8pt;width:475.8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" fillcolor="#d8d8d8 [2732]">
              <v:textbox>
                <w:txbxContent>
                  <w:p w14:paraId="6B4FEF9A" w14:textId="77777777" w:rsidR="00E56E59" w:rsidRDefault="00E56E59" w:rsidP="00E56E59">
                    <w:pPr>
                      <w:pStyle w:val="Footer"/>
                      <w:rPr>
                        <w:color w:val="808080" w:themeColor="background1" w:themeShade="80"/>
                      </w:rPr>
                    </w:pPr>
                    <w:r>
                      <w:rPr>
                        <w:b/>
                        <w:color w:val="808080" w:themeColor="background1" w:themeShade="80"/>
                      </w:rPr>
                      <w:t xml:space="preserve">This internal process document is shared as part of SPRING’s Nutrition SBC Strategy Library </w:t>
                    </w:r>
                  </w:p>
                  <w:p w14:paraId="74A7CF2B" w14:textId="77777777" w:rsidR="00E56E59" w:rsidRPr="00BF7CBD" w:rsidRDefault="00E56E59" w:rsidP="00E56E59">
                    <w:pPr>
                      <w:pStyle w:val="Footer"/>
                      <w:rPr>
                        <w:color w:val="808080" w:themeColor="background1" w:themeShade="80"/>
                      </w:rPr>
                    </w:pPr>
                    <w:r>
                      <w:rPr>
                        <w:color w:val="808080" w:themeColor="background1" w:themeShade="80"/>
                      </w:rPr>
                      <w:t>We invite you to share and adapt this document to your needs</w:t>
                    </w:r>
                    <w:r w:rsidRPr="00BF7CBD">
                      <w:rPr>
                        <w:color w:val="808080" w:themeColor="background1" w:themeShade="80"/>
                      </w:rPr>
                      <w:t>.</w:t>
                    </w:r>
                  </w:p>
                  <w:p w14:paraId="64C397EF" w14:textId="77777777" w:rsidR="00E56E59" w:rsidRPr="00BF7CBD" w:rsidRDefault="00E56E59" w:rsidP="00E56E59">
                    <w:pPr>
                      <w:pStyle w:val="Footer"/>
                      <w:rPr>
                        <w:color w:val="808080" w:themeColor="background1" w:themeShade="80"/>
                      </w:rPr>
                    </w:pPr>
                    <w:r w:rsidRPr="00BF7CBD">
                      <w:rPr>
                        <w:color w:val="808080" w:themeColor="background1" w:themeShade="80"/>
                      </w:rPr>
                      <w:t>Access the full SB</w:t>
                    </w:r>
                    <w:r>
                      <w:rPr>
                        <w:color w:val="808080" w:themeColor="background1" w:themeShade="80"/>
                      </w:rPr>
                      <w:t>C Strategy Library at</w:t>
                    </w:r>
                    <w:r w:rsidRPr="00BF7CBD">
                      <w:rPr>
                        <w:color w:val="808080" w:themeColor="background1" w:themeShade="80"/>
                      </w:rPr>
                      <w:t xml:space="preserve">: </w:t>
                    </w:r>
                    <w:r>
                      <w:rPr>
                        <w:color w:val="808080" w:themeColor="background1" w:themeShade="80"/>
                        <w:u w:val="single"/>
                      </w:rPr>
                      <w:t>www.spring-nutrition.org/sbc</w:t>
                    </w:r>
                    <w:r w:rsidRPr="00BF7CBD">
                      <w:rPr>
                        <w:color w:val="808080" w:themeColor="background1" w:themeShade="80"/>
                        <w:u w:val="single"/>
                      </w:rPr>
                      <w:t>_strategy_library</w:t>
                    </w:r>
                  </w:p>
                  <w:p w14:paraId="3EA89AA5" w14:textId="77777777" w:rsidR="00E56E59" w:rsidRPr="00BF7CBD" w:rsidRDefault="00E56E59" w:rsidP="00E56E59">
                    <w:pPr>
                      <w:pStyle w:val="Header"/>
                      <w:rPr>
                        <w:rFonts w:ascii="Arial" w:hAnsi="Arial" w:cs="Arial"/>
                        <w:color w:val="808080" w:themeColor="background1" w:themeShade="80"/>
                      </w:rPr>
                    </w:pPr>
                  </w:p>
                  <w:p w14:paraId="65417837" w14:textId="77777777" w:rsidR="00E56E59" w:rsidRPr="00BF7CBD" w:rsidRDefault="00E56E59" w:rsidP="00E56E59"/>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4D9CD" w14:textId="77777777" w:rsidR="00E56E59" w:rsidRDefault="00E56E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2D432" w14:textId="1F2E2292" w:rsidR="00E56E59" w:rsidRPr="00E56E59" w:rsidRDefault="00E56E59" w:rsidP="00E56E59">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7ED1"/>
    <w:multiLevelType w:val="hybridMultilevel"/>
    <w:tmpl w:val="EBDCD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2C4477"/>
    <w:multiLevelType w:val="hybridMultilevel"/>
    <w:tmpl w:val="82E85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0DF674F"/>
    <w:multiLevelType w:val="hybridMultilevel"/>
    <w:tmpl w:val="E6E46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C6F724C"/>
    <w:multiLevelType w:val="hybridMultilevel"/>
    <w:tmpl w:val="55DE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644AE3"/>
    <w:multiLevelType w:val="hybridMultilevel"/>
    <w:tmpl w:val="76DAF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81"/>
    <w:rsid w:val="000214B5"/>
    <w:rsid w:val="00042E08"/>
    <w:rsid w:val="000436AF"/>
    <w:rsid w:val="00075D31"/>
    <w:rsid w:val="00086916"/>
    <w:rsid w:val="000A2481"/>
    <w:rsid w:val="000E6200"/>
    <w:rsid w:val="000F0EE8"/>
    <w:rsid w:val="00156C23"/>
    <w:rsid w:val="00157EE6"/>
    <w:rsid w:val="00171D75"/>
    <w:rsid w:val="001D4CD9"/>
    <w:rsid w:val="002102A1"/>
    <w:rsid w:val="00222054"/>
    <w:rsid w:val="0024145F"/>
    <w:rsid w:val="002565C3"/>
    <w:rsid w:val="002720D1"/>
    <w:rsid w:val="00277346"/>
    <w:rsid w:val="00284C77"/>
    <w:rsid w:val="00287834"/>
    <w:rsid w:val="002B6D26"/>
    <w:rsid w:val="002D5868"/>
    <w:rsid w:val="00314E65"/>
    <w:rsid w:val="00324301"/>
    <w:rsid w:val="00342012"/>
    <w:rsid w:val="00343009"/>
    <w:rsid w:val="00344708"/>
    <w:rsid w:val="00363186"/>
    <w:rsid w:val="00367E70"/>
    <w:rsid w:val="003C5FD4"/>
    <w:rsid w:val="003F5AED"/>
    <w:rsid w:val="00407714"/>
    <w:rsid w:val="00436DA4"/>
    <w:rsid w:val="00454E8B"/>
    <w:rsid w:val="00460AD8"/>
    <w:rsid w:val="004A5B64"/>
    <w:rsid w:val="004C436C"/>
    <w:rsid w:val="004F2C04"/>
    <w:rsid w:val="004F2E07"/>
    <w:rsid w:val="00527C7E"/>
    <w:rsid w:val="005441FF"/>
    <w:rsid w:val="00550B1E"/>
    <w:rsid w:val="00596E60"/>
    <w:rsid w:val="005B1C0A"/>
    <w:rsid w:val="005B44BF"/>
    <w:rsid w:val="005F04ED"/>
    <w:rsid w:val="00600F9E"/>
    <w:rsid w:val="00626DC8"/>
    <w:rsid w:val="0063116A"/>
    <w:rsid w:val="006502E0"/>
    <w:rsid w:val="006B6D3A"/>
    <w:rsid w:val="007422CD"/>
    <w:rsid w:val="00763C01"/>
    <w:rsid w:val="007B6BCC"/>
    <w:rsid w:val="007C4908"/>
    <w:rsid w:val="007E02E3"/>
    <w:rsid w:val="007E6D7E"/>
    <w:rsid w:val="00807496"/>
    <w:rsid w:val="00872DDC"/>
    <w:rsid w:val="00892711"/>
    <w:rsid w:val="008F3928"/>
    <w:rsid w:val="00904177"/>
    <w:rsid w:val="00915F17"/>
    <w:rsid w:val="00941F24"/>
    <w:rsid w:val="00952E1A"/>
    <w:rsid w:val="009637F8"/>
    <w:rsid w:val="0097385F"/>
    <w:rsid w:val="009E23DB"/>
    <w:rsid w:val="009F418C"/>
    <w:rsid w:val="00A84F98"/>
    <w:rsid w:val="00A85147"/>
    <w:rsid w:val="00A909A8"/>
    <w:rsid w:val="00AF5214"/>
    <w:rsid w:val="00AF55B9"/>
    <w:rsid w:val="00B21283"/>
    <w:rsid w:val="00B6169E"/>
    <w:rsid w:val="00B6723D"/>
    <w:rsid w:val="00B707AC"/>
    <w:rsid w:val="00B7701C"/>
    <w:rsid w:val="00BB45AC"/>
    <w:rsid w:val="00BD1250"/>
    <w:rsid w:val="00BD2B95"/>
    <w:rsid w:val="00BE1B34"/>
    <w:rsid w:val="00C210C2"/>
    <w:rsid w:val="00C41923"/>
    <w:rsid w:val="00C430A2"/>
    <w:rsid w:val="00C53987"/>
    <w:rsid w:val="00C7757E"/>
    <w:rsid w:val="00C95E8D"/>
    <w:rsid w:val="00D013CA"/>
    <w:rsid w:val="00D2799B"/>
    <w:rsid w:val="00D905FB"/>
    <w:rsid w:val="00DA56D5"/>
    <w:rsid w:val="00DD6D76"/>
    <w:rsid w:val="00E1660B"/>
    <w:rsid w:val="00E56E59"/>
    <w:rsid w:val="00E76F2C"/>
    <w:rsid w:val="00EA5790"/>
    <w:rsid w:val="00EB4118"/>
    <w:rsid w:val="00ED0786"/>
    <w:rsid w:val="00EF2F63"/>
    <w:rsid w:val="00F763C6"/>
    <w:rsid w:val="00F87955"/>
    <w:rsid w:val="00FC4CF7"/>
    <w:rsid w:val="00FE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481"/>
  </w:style>
  <w:style w:type="paragraph" w:styleId="Heading1">
    <w:name w:val="heading 1"/>
    <w:basedOn w:val="Normal"/>
    <w:next w:val="Normal"/>
    <w:link w:val="Heading1Char"/>
    <w:rsid w:val="000A2481"/>
    <w:pPr>
      <w:keepNext/>
      <w:keepLines/>
      <w:spacing w:before="480" w:line="276" w:lineRule="auto"/>
      <w:outlineLvl w:val="0"/>
    </w:pPr>
    <w:rPr>
      <w:rFonts w:ascii="Cambria" w:eastAsia="Cambria" w:hAnsi="Cambria" w:cs="Cambria"/>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481"/>
    <w:rPr>
      <w:rFonts w:ascii="Cambria" w:eastAsia="Cambria" w:hAnsi="Cambria" w:cs="Cambria"/>
      <w:b/>
      <w:color w:val="000000"/>
      <w:sz w:val="28"/>
      <w:szCs w:val="28"/>
    </w:rPr>
  </w:style>
  <w:style w:type="paragraph" w:styleId="ListParagraph">
    <w:name w:val="List Paragraph"/>
    <w:basedOn w:val="Normal"/>
    <w:uiPriority w:val="34"/>
    <w:qFormat/>
    <w:rsid w:val="000A2481"/>
    <w:pPr>
      <w:ind w:left="720"/>
      <w:contextualSpacing/>
    </w:pPr>
    <w:rPr>
      <w:rFonts w:ascii="Calibri" w:eastAsia="Calibri" w:hAnsi="Calibri" w:cs="Calibri"/>
      <w:color w:val="000000"/>
      <w:sz w:val="22"/>
      <w:szCs w:val="22"/>
    </w:rPr>
  </w:style>
  <w:style w:type="paragraph" w:styleId="CommentText">
    <w:name w:val="annotation text"/>
    <w:basedOn w:val="Normal"/>
    <w:link w:val="CommentTextChar"/>
    <w:uiPriority w:val="99"/>
    <w:unhideWhenUsed/>
    <w:rsid w:val="00222054"/>
    <w:rPr>
      <w:rFonts w:eastAsia="Calibri" w:cs="Calibri"/>
      <w:color w:val="000000"/>
      <w:sz w:val="28"/>
      <w:szCs w:val="20"/>
    </w:rPr>
  </w:style>
  <w:style w:type="character" w:customStyle="1" w:styleId="CommentTextChar">
    <w:name w:val="Comment Text Char"/>
    <w:basedOn w:val="DefaultParagraphFont"/>
    <w:link w:val="CommentText"/>
    <w:uiPriority w:val="99"/>
    <w:rsid w:val="00222054"/>
    <w:rPr>
      <w:rFonts w:eastAsia="Calibri" w:cs="Calibri"/>
      <w:color w:val="000000"/>
      <w:sz w:val="28"/>
      <w:szCs w:val="20"/>
    </w:rPr>
  </w:style>
  <w:style w:type="character" w:styleId="CommentReference">
    <w:name w:val="annotation reference"/>
    <w:basedOn w:val="DefaultParagraphFont"/>
    <w:uiPriority w:val="99"/>
    <w:semiHidden/>
    <w:unhideWhenUsed/>
    <w:rsid w:val="00222054"/>
    <w:rPr>
      <w:sz w:val="16"/>
      <w:szCs w:val="16"/>
    </w:rPr>
  </w:style>
  <w:style w:type="character" w:styleId="Hyperlink">
    <w:name w:val="Hyperlink"/>
    <w:basedOn w:val="DefaultParagraphFont"/>
    <w:uiPriority w:val="99"/>
    <w:unhideWhenUsed/>
    <w:rsid w:val="00222054"/>
    <w:rPr>
      <w:color w:val="0563C1" w:themeColor="hyperlink"/>
      <w:u w:val="single"/>
    </w:rPr>
  </w:style>
  <w:style w:type="paragraph" w:styleId="BalloonText">
    <w:name w:val="Balloon Text"/>
    <w:basedOn w:val="Normal"/>
    <w:link w:val="BalloonTextChar"/>
    <w:uiPriority w:val="99"/>
    <w:semiHidden/>
    <w:unhideWhenUsed/>
    <w:rsid w:val="002220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2054"/>
    <w:rPr>
      <w:rFonts w:ascii="Times New Roman" w:hAnsi="Times New Roman" w:cs="Times New Roman"/>
      <w:sz w:val="18"/>
      <w:szCs w:val="18"/>
    </w:rPr>
  </w:style>
  <w:style w:type="table" w:styleId="TableGrid">
    <w:name w:val="Table Grid"/>
    <w:basedOn w:val="TableNormal"/>
    <w:uiPriority w:val="39"/>
    <w:rsid w:val="00075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1D75"/>
    <w:pPr>
      <w:tabs>
        <w:tab w:val="center" w:pos="4680"/>
        <w:tab w:val="right" w:pos="9360"/>
      </w:tabs>
    </w:pPr>
  </w:style>
  <w:style w:type="character" w:customStyle="1" w:styleId="HeaderChar">
    <w:name w:val="Header Char"/>
    <w:basedOn w:val="DefaultParagraphFont"/>
    <w:link w:val="Header"/>
    <w:uiPriority w:val="99"/>
    <w:rsid w:val="00171D75"/>
  </w:style>
  <w:style w:type="paragraph" w:styleId="Footer">
    <w:name w:val="footer"/>
    <w:basedOn w:val="Normal"/>
    <w:link w:val="FooterChar"/>
    <w:uiPriority w:val="99"/>
    <w:unhideWhenUsed/>
    <w:rsid w:val="00171D75"/>
    <w:pPr>
      <w:tabs>
        <w:tab w:val="center" w:pos="4680"/>
        <w:tab w:val="right" w:pos="9360"/>
      </w:tabs>
    </w:pPr>
  </w:style>
  <w:style w:type="character" w:customStyle="1" w:styleId="FooterChar">
    <w:name w:val="Footer Char"/>
    <w:basedOn w:val="DefaultParagraphFont"/>
    <w:link w:val="Footer"/>
    <w:uiPriority w:val="99"/>
    <w:rsid w:val="00171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481"/>
  </w:style>
  <w:style w:type="paragraph" w:styleId="Heading1">
    <w:name w:val="heading 1"/>
    <w:basedOn w:val="Normal"/>
    <w:next w:val="Normal"/>
    <w:link w:val="Heading1Char"/>
    <w:rsid w:val="000A2481"/>
    <w:pPr>
      <w:keepNext/>
      <w:keepLines/>
      <w:spacing w:before="480" w:line="276" w:lineRule="auto"/>
      <w:outlineLvl w:val="0"/>
    </w:pPr>
    <w:rPr>
      <w:rFonts w:ascii="Cambria" w:eastAsia="Cambria" w:hAnsi="Cambria" w:cs="Cambria"/>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481"/>
    <w:rPr>
      <w:rFonts w:ascii="Cambria" w:eastAsia="Cambria" w:hAnsi="Cambria" w:cs="Cambria"/>
      <w:b/>
      <w:color w:val="000000"/>
      <w:sz w:val="28"/>
      <w:szCs w:val="28"/>
    </w:rPr>
  </w:style>
  <w:style w:type="paragraph" w:styleId="ListParagraph">
    <w:name w:val="List Paragraph"/>
    <w:basedOn w:val="Normal"/>
    <w:uiPriority w:val="34"/>
    <w:qFormat/>
    <w:rsid w:val="000A2481"/>
    <w:pPr>
      <w:ind w:left="720"/>
      <w:contextualSpacing/>
    </w:pPr>
    <w:rPr>
      <w:rFonts w:ascii="Calibri" w:eastAsia="Calibri" w:hAnsi="Calibri" w:cs="Calibri"/>
      <w:color w:val="000000"/>
      <w:sz w:val="22"/>
      <w:szCs w:val="22"/>
    </w:rPr>
  </w:style>
  <w:style w:type="paragraph" w:styleId="CommentText">
    <w:name w:val="annotation text"/>
    <w:basedOn w:val="Normal"/>
    <w:link w:val="CommentTextChar"/>
    <w:uiPriority w:val="99"/>
    <w:unhideWhenUsed/>
    <w:rsid w:val="00222054"/>
    <w:rPr>
      <w:rFonts w:eastAsia="Calibri" w:cs="Calibri"/>
      <w:color w:val="000000"/>
      <w:sz w:val="28"/>
      <w:szCs w:val="20"/>
    </w:rPr>
  </w:style>
  <w:style w:type="character" w:customStyle="1" w:styleId="CommentTextChar">
    <w:name w:val="Comment Text Char"/>
    <w:basedOn w:val="DefaultParagraphFont"/>
    <w:link w:val="CommentText"/>
    <w:uiPriority w:val="99"/>
    <w:rsid w:val="00222054"/>
    <w:rPr>
      <w:rFonts w:eastAsia="Calibri" w:cs="Calibri"/>
      <w:color w:val="000000"/>
      <w:sz w:val="28"/>
      <w:szCs w:val="20"/>
    </w:rPr>
  </w:style>
  <w:style w:type="character" w:styleId="CommentReference">
    <w:name w:val="annotation reference"/>
    <w:basedOn w:val="DefaultParagraphFont"/>
    <w:uiPriority w:val="99"/>
    <w:semiHidden/>
    <w:unhideWhenUsed/>
    <w:rsid w:val="00222054"/>
    <w:rPr>
      <w:sz w:val="16"/>
      <w:szCs w:val="16"/>
    </w:rPr>
  </w:style>
  <w:style w:type="character" w:styleId="Hyperlink">
    <w:name w:val="Hyperlink"/>
    <w:basedOn w:val="DefaultParagraphFont"/>
    <w:uiPriority w:val="99"/>
    <w:unhideWhenUsed/>
    <w:rsid w:val="00222054"/>
    <w:rPr>
      <w:color w:val="0563C1" w:themeColor="hyperlink"/>
      <w:u w:val="single"/>
    </w:rPr>
  </w:style>
  <w:style w:type="paragraph" w:styleId="BalloonText">
    <w:name w:val="Balloon Text"/>
    <w:basedOn w:val="Normal"/>
    <w:link w:val="BalloonTextChar"/>
    <w:uiPriority w:val="99"/>
    <w:semiHidden/>
    <w:unhideWhenUsed/>
    <w:rsid w:val="002220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2054"/>
    <w:rPr>
      <w:rFonts w:ascii="Times New Roman" w:hAnsi="Times New Roman" w:cs="Times New Roman"/>
      <w:sz w:val="18"/>
      <w:szCs w:val="18"/>
    </w:rPr>
  </w:style>
  <w:style w:type="table" w:styleId="TableGrid">
    <w:name w:val="Table Grid"/>
    <w:basedOn w:val="TableNormal"/>
    <w:uiPriority w:val="39"/>
    <w:rsid w:val="00075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1D75"/>
    <w:pPr>
      <w:tabs>
        <w:tab w:val="center" w:pos="4680"/>
        <w:tab w:val="right" w:pos="9360"/>
      </w:tabs>
    </w:pPr>
  </w:style>
  <w:style w:type="character" w:customStyle="1" w:styleId="HeaderChar">
    <w:name w:val="Header Char"/>
    <w:basedOn w:val="DefaultParagraphFont"/>
    <w:link w:val="Header"/>
    <w:uiPriority w:val="99"/>
    <w:rsid w:val="00171D75"/>
  </w:style>
  <w:style w:type="paragraph" w:styleId="Footer">
    <w:name w:val="footer"/>
    <w:basedOn w:val="Normal"/>
    <w:link w:val="FooterChar"/>
    <w:uiPriority w:val="99"/>
    <w:unhideWhenUsed/>
    <w:rsid w:val="00171D75"/>
    <w:pPr>
      <w:tabs>
        <w:tab w:val="center" w:pos="4680"/>
        <w:tab w:val="right" w:pos="9360"/>
      </w:tabs>
    </w:pPr>
  </w:style>
  <w:style w:type="character" w:customStyle="1" w:styleId="FooterChar">
    <w:name w:val="Footer Char"/>
    <w:basedOn w:val="DefaultParagraphFont"/>
    <w:link w:val="Footer"/>
    <w:uiPriority w:val="99"/>
    <w:rsid w:val="00171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snnetwork.org/care-group-lqas-example" TargetMode="External"/><Relationship Id="rId2" Type="http://schemas.openxmlformats.org/officeDocument/2006/relationships/numbering" Target="numbering.xml"/><Relationship Id="rId16" Type="http://schemas.openxmlformats.org/officeDocument/2006/relationships/hyperlink" Target="http://www.amazon.com/Made-Stick-ideas-others-unstuck-ebook/dp/B0031RS2X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snnetwork.org/sites/default/files/cdw_practice_promotion_qivc_english_1.doc"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F93824-CE4C-430C-97C9-4725CB04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Independent Global Health Consultant</Company>
  <LinksUpToDate>false</LinksUpToDate>
  <CharactersWithSpaces>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Davis</dc:creator>
  <cp:lastModifiedBy>JSI</cp:lastModifiedBy>
  <cp:revision>2</cp:revision>
  <dcterms:created xsi:type="dcterms:W3CDTF">2018-05-29T18:36:00Z</dcterms:created>
  <dcterms:modified xsi:type="dcterms:W3CDTF">2018-05-29T18:36:00Z</dcterms:modified>
</cp:coreProperties>
</file>