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B57C" w14:textId="77777777" w:rsidR="009009B3" w:rsidRDefault="009009B3" w:rsidP="00396513">
      <w:pPr>
        <w:pStyle w:val="Title"/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D346F" wp14:editId="02617705">
            <wp:simplePos x="0" y="0"/>
            <wp:positionH relativeFrom="margin">
              <wp:posOffset>68580</wp:posOffset>
            </wp:positionH>
            <wp:positionV relativeFrom="paragraph">
              <wp:posOffset>-478155</wp:posOffset>
            </wp:positionV>
            <wp:extent cx="3028950" cy="561975"/>
            <wp:effectExtent l="0" t="0" r="0" b="9525"/>
            <wp:wrapSquare wrapText="bothSides"/>
            <wp:docPr id="1" name="Picture 1" descr="horizontal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7392" r="6410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FEC0" w14:textId="0B823882" w:rsidR="003E7B57" w:rsidRPr="00396513" w:rsidRDefault="00645C5C" w:rsidP="00396513">
      <w:pPr>
        <w:pStyle w:val="Title"/>
        <w:rPr>
          <w:sz w:val="44"/>
        </w:rPr>
      </w:pPr>
      <w:bookmarkStart w:id="0" w:name="_GoBack"/>
      <w:r w:rsidRPr="00396513">
        <w:rPr>
          <w:sz w:val="44"/>
        </w:rPr>
        <w:t xml:space="preserve">Typical Process for Designing </w:t>
      </w:r>
      <w:r w:rsidR="00396513">
        <w:rPr>
          <w:sz w:val="44"/>
        </w:rPr>
        <w:t xml:space="preserve">Social Behavior Change </w:t>
      </w:r>
      <w:r w:rsidRPr="00396513">
        <w:rPr>
          <w:sz w:val="44"/>
        </w:rPr>
        <w:t>Strategies</w:t>
      </w:r>
    </w:p>
    <w:bookmarkEnd w:id="0"/>
    <w:p w14:paraId="6E68F4A6" w14:textId="77777777" w:rsidR="00645C5C" w:rsidRPr="00C839A5" w:rsidRDefault="00645C5C" w:rsidP="00C839A5">
      <w:pPr>
        <w:spacing w:before="120" w:after="120"/>
        <w:rPr>
          <w:rFonts w:ascii="Franklin Gothic Book" w:hAnsi="Franklin Gothic Book"/>
        </w:rPr>
      </w:pPr>
    </w:p>
    <w:p w14:paraId="4B7E6988" w14:textId="14ECB21E" w:rsidR="00645C5C" w:rsidRPr="00396513" w:rsidRDefault="00645C5C" w:rsidP="003F20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 w:rsidRPr="00396513">
        <w:rPr>
          <w:rFonts w:ascii="Segoe UI" w:hAnsi="Segoe UI" w:cs="Segoe UI"/>
          <w:b/>
          <w:color w:val="91993E" w:themeColor="accent1"/>
          <w:szCs w:val="32"/>
        </w:rPr>
        <w:t>Identify behaviors related to project objectives</w:t>
      </w:r>
      <w:r w:rsidRPr="00396513">
        <w:rPr>
          <w:rFonts w:ascii="Segoe UI" w:hAnsi="Segoe UI" w:cs="Segoe UI"/>
          <w:color w:val="000000"/>
          <w:szCs w:val="32"/>
        </w:rPr>
        <w:t xml:space="preserve">. It is important to begin with evidence-based behaviors related to the </w:t>
      </w:r>
      <w:r w:rsidR="003F20DA">
        <w:rPr>
          <w:rFonts w:ascii="Segoe UI" w:hAnsi="Segoe UI" w:cs="Segoe UI"/>
          <w:color w:val="000000"/>
          <w:szCs w:val="32"/>
        </w:rPr>
        <w:t>activity</w:t>
      </w:r>
      <w:r w:rsidR="003F20DA" w:rsidRPr="00396513">
        <w:rPr>
          <w:rFonts w:ascii="Segoe UI" w:hAnsi="Segoe UI" w:cs="Segoe UI"/>
          <w:color w:val="000000"/>
          <w:szCs w:val="32"/>
        </w:rPr>
        <w:t xml:space="preserve"> </w:t>
      </w:r>
      <w:r w:rsidRPr="00396513">
        <w:rPr>
          <w:rFonts w:ascii="Segoe UI" w:hAnsi="Segoe UI" w:cs="Segoe UI"/>
          <w:color w:val="000000"/>
          <w:szCs w:val="32"/>
        </w:rPr>
        <w:t>objectives. For example, a</w:t>
      </w:r>
      <w:r w:rsidR="003F20DA">
        <w:rPr>
          <w:rFonts w:ascii="Segoe UI" w:hAnsi="Segoe UI" w:cs="Segoe UI"/>
          <w:color w:val="000000"/>
          <w:szCs w:val="32"/>
        </w:rPr>
        <w:t>n</w:t>
      </w:r>
      <w:r w:rsidRPr="00396513">
        <w:rPr>
          <w:rFonts w:ascii="Segoe UI" w:hAnsi="Segoe UI" w:cs="Segoe UI"/>
          <w:color w:val="000000"/>
          <w:szCs w:val="32"/>
        </w:rPr>
        <w:t xml:space="preserve"> </w:t>
      </w:r>
      <w:r w:rsidR="003F20DA">
        <w:rPr>
          <w:rFonts w:ascii="Segoe UI" w:hAnsi="Segoe UI" w:cs="Segoe UI"/>
          <w:color w:val="000000"/>
          <w:szCs w:val="32"/>
        </w:rPr>
        <w:t>activity</w:t>
      </w:r>
      <w:r w:rsidR="003F20DA" w:rsidRPr="00396513">
        <w:rPr>
          <w:rFonts w:ascii="Segoe UI" w:hAnsi="Segoe UI" w:cs="Segoe UI"/>
          <w:color w:val="000000"/>
          <w:szCs w:val="32"/>
        </w:rPr>
        <w:t xml:space="preserve"> </w:t>
      </w:r>
      <w:r w:rsidRPr="00396513">
        <w:rPr>
          <w:rFonts w:ascii="Segoe UI" w:hAnsi="Segoe UI" w:cs="Segoe UI"/>
          <w:color w:val="000000"/>
          <w:szCs w:val="32"/>
        </w:rPr>
        <w:t>aimed at reducing anemia may logically prioritize the intake of iron supplements or deworming medication.</w:t>
      </w:r>
    </w:p>
    <w:p w14:paraId="49A29B2B" w14:textId="77777777" w:rsidR="00396513" w:rsidRPr="00396513" w:rsidRDefault="00396513" w:rsidP="00396513">
      <w:pPr>
        <w:pStyle w:val="ListParagraph"/>
        <w:widowControl w:val="0"/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</w:p>
    <w:p w14:paraId="4BA36F88" w14:textId="0D8E6374" w:rsidR="00645C5C" w:rsidRPr="00396513" w:rsidRDefault="00645C5C" w:rsidP="008F48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 w:rsidRPr="00396513">
        <w:rPr>
          <w:rFonts w:ascii="Segoe UI" w:hAnsi="Segoe UI" w:cs="Segoe UI"/>
          <w:b/>
          <w:color w:val="91993E" w:themeColor="accent1"/>
          <w:szCs w:val="32"/>
        </w:rPr>
        <w:t>Gather available data</w:t>
      </w:r>
      <w:r w:rsidRPr="00396513">
        <w:rPr>
          <w:rFonts w:ascii="Segoe UI" w:hAnsi="Segoe UI" w:cs="Segoe UI"/>
          <w:color w:val="91993E" w:themeColor="accent1"/>
          <w:szCs w:val="32"/>
        </w:rPr>
        <w:t xml:space="preserve">, </w:t>
      </w:r>
      <w:r w:rsidRPr="00396513">
        <w:rPr>
          <w:rFonts w:ascii="Segoe UI" w:hAnsi="Segoe UI" w:cs="Segoe UI"/>
          <w:color w:val="000000"/>
          <w:szCs w:val="32"/>
        </w:rPr>
        <w:t xml:space="preserve">which could include reviewing primary or secondary data and conducting formative research. To identify priority behaviors and appropriate </w:t>
      </w:r>
      <w:r w:rsidR="00396513">
        <w:rPr>
          <w:rFonts w:ascii="Segoe UI" w:hAnsi="Segoe UI" w:cs="Segoe UI"/>
          <w:color w:val="000000"/>
          <w:szCs w:val="32"/>
        </w:rPr>
        <w:t>social behavior change communication (</w:t>
      </w:r>
      <w:r w:rsidRPr="00396513">
        <w:rPr>
          <w:rFonts w:ascii="Segoe UI" w:hAnsi="Segoe UI" w:cs="Segoe UI"/>
          <w:color w:val="000000"/>
          <w:szCs w:val="32"/>
        </w:rPr>
        <w:t>SBCC</w:t>
      </w:r>
      <w:r w:rsidR="00396513">
        <w:rPr>
          <w:rFonts w:ascii="Segoe UI" w:hAnsi="Segoe UI" w:cs="Segoe UI"/>
          <w:color w:val="000000"/>
          <w:szCs w:val="32"/>
        </w:rPr>
        <w:t>)</w:t>
      </w:r>
      <w:r w:rsidRPr="00396513">
        <w:rPr>
          <w:rFonts w:ascii="Segoe UI" w:hAnsi="Segoe UI" w:cs="Segoe UI"/>
          <w:color w:val="000000"/>
          <w:szCs w:val="32"/>
        </w:rPr>
        <w:t xml:space="preserve"> approaches, program designers will need to understand the causes of malnutrition in the</w:t>
      </w:r>
      <w:r w:rsidR="008F48A2">
        <w:rPr>
          <w:rFonts w:ascii="Segoe UI" w:hAnsi="Segoe UI" w:cs="Segoe UI"/>
          <w:color w:val="000000"/>
          <w:szCs w:val="32"/>
        </w:rPr>
        <w:t>ir</w:t>
      </w:r>
      <w:r w:rsidRPr="00396513">
        <w:rPr>
          <w:rFonts w:ascii="Segoe UI" w:hAnsi="Segoe UI" w:cs="Segoe UI"/>
          <w:color w:val="000000"/>
          <w:szCs w:val="32"/>
        </w:rPr>
        <w:t xml:space="preserve"> </w:t>
      </w:r>
      <w:r w:rsidR="00171A40" w:rsidRPr="00396513">
        <w:rPr>
          <w:rFonts w:ascii="Segoe UI" w:hAnsi="Segoe UI" w:cs="Segoe UI"/>
          <w:color w:val="000000"/>
          <w:szCs w:val="32"/>
        </w:rPr>
        <w:t>context</w:t>
      </w:r>
      <w:r w:rsidRPr="00396513">
        <w:rPr>
          <w:rFonts w:ascii="Segoe UI" w:hAnsi="Segoe UI" w:cs="Segoe UI"/>
          <w:color w:val="000000"/>
          <w:szCs w:val="32"/>
        </w:rPr>
        <w:t xml:space="preserve"> and population. This </w:t>
      </w:r>
      <w:r w:rsidR="008F48A2">
        <w:rPr>
          <w:rFonts w:ascii="Segoe UI" w:hAnsi="Segoe UI" w:cs="Segoe UI"/>
          <w:color w:val="000000"/>
          <w:szCs w:val="32"/>
        </w:rPr>
        <w:t xml:space="preserve">process </w:t>
      </w:r>
      <w:r w:rsidRPr="00396513">
        <w:rPr>
          <w:rFonts w:ascii="Segoe UI" w:hAnsi="Segoe UI" w:cs="Segoe UI"/>
          <w:color w:val="000000"/>
          <w:szCs w:val="32"/>
        </w:rPr>
        <w:t>includes a review of interventions currently being implemented in the country or the project context that might directly or indirectly affect</w:t>
      </w:r>
      <w:r w:rsidR="00396513">
        <w:rPr>
          <w:rFonts w:ascii="Segoe UI" w:hAnsi="Segoe UI" w:cs="Segoe UI"/>
          <w:color w:val="000000"/>
          <w:szCs w:val="32"/>
        </w:rPr>
        <w:t xml:space="preserve"> nutrition. Formative research </w:t>
      </w:r>
      <w:r w:rsidRPr="00396513">
        <w:rPr>
          <w:rFonts w:ascii="Segoe UI" w:hAnsi="Segoe UI" w:cs="Segoe UI"/>
          <w:color w:val="000000"/>
          <w:szCs w:val="32"/>
        </w:rPr>
        <w:t xml:space="preserve">is critical for identifying barriers and facilitators of key behaviors, designing the overall strategy, and developing messages, when appropriate, which resonate both with the priority and/or influencing group(s) and effectively address the identified issues. Formative research can also help identify and build on existing positive behaviors to advance the SBCC approaches. </w:t>
      </w:r>
    </w:p>
    <w:p w14:paraId="7E27AFF6" w14:textId="77777777" w:rsidR="00396513" w:rsidRPr="00396513" w:rsidRDefault="00396513" w:rsidP="00396513">
      <w:pPr>
        <w:widowControl w:val="0"/>
        <w:autoSpaceDE w:val="0"/>
        <w:autoSpaceDN w:val="0"/>
        <w:adjustRightInd w:val="0"/>
        <w:spacing w:before="120" w:after="120" w:line="360" w:lineRule="atLeast"/>
        <w:rPr>
          <w:rFonts w:ascii="Segoe UI" w:hAnsi="Segoe UI" w:cs="Segoe UI"/>
          <w:color w:val="000000"/>
          <w:sz w:val="20"/>
        </w:rPr>
      </w:pPr>
    </w:p>
    <w:p w14:paraId="57FA882D" w14:textId="419E7591" w:rsidR="00645C5C" w:rsidRPr="00396513" w:rsidRDefault="00645C5C" w:rsidP="00C839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b/>
          <w:color w:val="91993E" w:themeColor="accent1"/>
          <w:sz w:val="20"/>
        </w:rPr>
      </w:pPr>
      <w:r w:rsidRPr="00396513">
        <w:rPr>
          <w:rFonts w:ascii="Segoe UI" w:hAnsi="Segoe UI" w:cs="Segoe UI"/>
          <w:b/>
          <w:color w:val="91993E" w:themeColor="accent1"/>
          <w:szCs w:val="32"/>
        </w:rPr>
        <w:t>Design an SBCC strategy including</w:t>
      </w:r>
      <w:r w:rsidR="00415FDC">
        <w:rPr>
          <w:rFonts w:ascii="Segoe UI" w:hAnsi="Segoe UI" w:cs="Segoe UI"/>
          <w:b/>
          <w:color w:val="91993E" w:themeColor="accent1"/>
          <w:szCs w:val="32"/>
        </w:rPr>
        <w:t>—</w:t>
      </w:r>
      <w:r w:rsidRPr="00396513">
        <w:rPr>
          <w:rFonts w:ascii="Segoe UI" w:hAnsi="Segoe UI" w:cs="Segoe UI"/>
          <w:b/>
          <w:color w:val="91993E" w:themeColor="accent1"/>
          <w:szCs w:val="32"/>
        </w:rPr>
        <w:t xml:space="preserve"> </w:t>
      </w:r>
    </w:p>
    <w:p w14:paraId="35C2DC2A" w14:textId="2A89FE88" w:rsidR="00C839A5" w:rsidRPr="00396513" w:rsidRDefault="00415FDC" w:rsidP="00C839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c</w:t>
      </w:r>
      <w:r w:rsidR="00C839A5" w:rsidRPr="00396513">
        <w:rPr>
          <w:rFonts w:ascii="Segoe UI" w:hAnsi="Segoe UI" w:cs="Segoe UI"/>
          <w:i/>
          <w:color w:val="000000"/>
          <w:szCs w:val="32"/>
        </w:rPr>
        <w:t>learly defined and prioritized behaviors that will be promoted.</w:t>
      </w:r>
      <w:r w:rsidR="00C839A5" w:rsidRPr="00396513">
        <w:rPr>
          <w:rFonts w:ascii="Segoe UI" w:hAnsi="Segoe UI" w:cs="Segoe UI"/>
          <w:color w:val="000000"/>
          <w:szCs w:val="32"/>
        </w:rPr>
        <w:t xml:space="preserve"> Evidence confirms that SBCC interventions are most effective when they promote a limited number of “doable” actions at one time. </w:t>
      </w:r>
    </w:p>
    <w:p w14:paraId="2787B83E" w14:textId="77777777" w:rsidR="003D4575" w:rsidRDefault="00415FDC" w:rsidP="00E678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Cs w:val="32"/>
        </w:rPr>
        <w:sectPr w:rsidR="003D4575" w:rsidSect="00BC1F10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egoe UI" w:hAnsi="Segoe UI" w:cs="Segoe UI"/>
          <w:i/>
          <w:color w:val="000000"/>
          <w:szCs w:val="32"/>
        </w:rPr>
        <w:t>p</w:t>
      </w:r>
      <w:r w:rsidR="00C839A5" w:rsidRPr="00396513">
        <w:rPr>
          <w:rFonts w:ascii="Segoe UI" w:hAnsi="Segoe UI" w:cs="Segoe UI"/>
          <w:i/>
          <w:color w:val="000000"/>
          <w:szCs w:val="32"/>
        </w:rPr>
        <w:t xml:space="preserve">roject interventions to bring about sustained changes in priority behaviors. </w:t>
      </w:r>
      <w:r w:rsidR="00396513">
        <w:rPr>
          <w:rFonts w:ascii="Segoe UI" w:hAnsi="Segoe UI" w:cs="Segoe UI"/>
          <w:color w:val="000000"/>
          <w:szCs w:val="32"/>
        </w:rPr>
        <w:t>These s</w:t>
      </w:r>
      <w:r w:rsidR="00C839A5" w:rsidRPr="00396513">
        <w:rPr>
          <w:rFonts w:ascii="Segoe UI" w:hAnsi="Segoe UI" w:cs="Segoe UI"/>
          <w:color w:val="000000"/>
          <w:szCs w:val="32"/>
        </w:rPr>
        <w:t xml:space="preserve">hould be informed by a theory of change or a results framework, </w:t>
      </w:r>
      <w:r w:rsidR="00E678B8">
        <w:rPr>
          <w:rFonts w:ascii="Segoe UI" w:hAnsi="Segoe UI" w:cs="Segoe UI"/>
          <w:color w:val="000000"/>
          <w:szCs w:val="32"/>
        </w:rPr>
        <w:t>and</w:t>
      </w:r>
      <w:r w:rsidR="00E678B8" w:rsidRPr="00396513">
        <w:rPr>
          <w:rFonts w:ascii="Segoe UI" w:hAnsi="Segoe UI" w:cs="Segoe UI"/>
          <w:color w:val="000000"/>
          <w:szCs w:val="32"/>
        </w:rPr>
        <w:t xml:space="preserve"> </w:t>
      </w:r>
      <w:r w:rsidR="00C839A5" w:rsidRPr="00396513">
        <w:rPr>
          <w:rFonts w:ascii="Segoe UI" w:hAnsi="Segoe UI" w:cs="Segoe UI"/>
          <w:color w:val="000000"/>
          <w:szCs w:val="32"/>
        </w:rPr>
        <w:t>should present the development hypothesis of how activities will lead to outputs</w:t>
      </w:r>
      <w:r w:rsidR="00E678B8">
        <w:rPr>
          <w:rFonts w:ascii="Segoe UI" w:hAnsi="Segoe UI" w:cs="Segoe UI"/>
          <w:color w:val="000000"/>
          <w:szCs w:val="32"/>
        </w:rPr>
        <w:t>,</w:t>
      </w:r>
      <w:r w:rsidR="00C839A5" w:rsidRPr="00396513">
        <w:rPr>
          <w:rFonts w:ascii="Segoe UI" w:hAnsi="Segoe UI" w:cs="Segoe UI"/>
          <w:color w:val="000000"/>
          <w:szCs w:val="32"/>
        </w:rPr>
        <w:t xml:space="preserve"> outcomes</w:t>
      </w:r>
      <w:r w:rsidR="00E678B8">
        <w:rPr>
          <w:rFonts w:ascii="Segoe UI" w:hAnsi="Segoe UI" w:cs="Segoe UI"/>
          <w:color w:val="000000"/>
          <w:szCs w:val="32"/>
        </w:rPr>
        <w:t>,</w:t>
      </w:r>
      <w:r w:rsidR="00C839A5" w:rsidRPr="00396513">
        <w:rPr>
          <w:rFonts w:ascii="Segoe UI" w:hAnsi="Segoe UI" w:cs="Segoe UI"/>
          <w:color w:val="000000"/>
          <w:szCs w:val="32"/>
        </w:rPr>
        <w:t xml:space="preserve"> and, eventually, impacts</w:t>
      </w:r>
      <w:r w:rsidR="00396513">
        <w:rPr>
          <w:rFonts w:ascii="Segoe UI" w:hAnsi="Segoe UI" w:cs="Segoe UI"/>
          <w:color w:val="000000"/>
          <w:szCs w:val="32"/>
        </w:rPr>
        <w:t>.</w:t>
      </w:r>
      <w:r w:rsidR="003D4575">
        <w:rPr>
          <w:rFonts w:ascii="Segoe UI" w:hAnsi="Segoe UI" w:cs="Segoe UI"/>
          <w:color w:val="000000"/>
          <w:szCs w:val="32"/>
        </w:rPr>
        <w:t xml:space="preserve">    </w:t>
      </w:r>
    </w:p>
    <w:p w14:paraId="73FADA67" w14:textId="106786A4" w:rsidR="00645C5C" w:rsidRPr="00396513" w:rsidRDefault="00415FDC" w:rsidP="00C839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lastRenderedPageBreak/>
        <w:t>a</w:t>
      </w:r>
      <w:r w:rsidR="00C839A5" w:rsidRPr="00396513">
        <w:rPr>
          <w:rFonts w:ascii="Segoe UI" w:hAnsi="Segoe UI" w:cs="Segoe UI"/>
          <w:i/>
          <w:color w:val="000000"/>
          <w:szCs w:val="32"/>
        </w:rPr>
        <w:t xml:space="preserve"> program monitoring plan</w:t>
      </w:r>
      <w:r w:rsidR="00C839A5" w:rsidRPr="00396513">
        <w:rPr>
          <w:rFonts w:ascii="Segoe UI" w:hAnsi="Segoe UI" w:cs="Segoe UI"/>
          <w:color w:val="000000"/>
          <w:szCs w:val="32"/>
        </w:rPr>
        <w:t xml:space="preserve"> that includes specific, measurable, achievable, relevant, and time-bound (SMART) indicators of the inputs, processes, outputs, outcomes, and </w:t>
      </w:r>
      <w:r w:rsidR="00645C5C" w:rsidRPr="00396513">
        <w:rPr>
          <w:rFonts w:ascii="Segoe UI" w:hAnsi="Segoe UI" w:cs="Segoe UI"/>
          <w:color w:val="000000"/>
          <w:szCs w:val="32"/>
        </w:rPr>
        <w:t>impacts identified</w:t>
      </w:r>
      <w:r w:rsidR="00396513">
        <w:rPr>
          <w:rFonts w:ascii="Segoe UI" w:hAnsi="Segoe UI" w:cs="Segoe UI"/>
          <w:color w:val="000000"/>
          <w:szCs w:val="32"/>
        </w:rPr>
        <w:t>.</w:t>
      </w:r>
    </w:p>
    <w:p w14:paraId="7999A43D" w14:textId="6EA4FAD2" w:rsidR="00645C5C" w:rsidRPr="00396513" w:rsidRDefault="00E678B8" w:rsidP="00C839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Cs w:val="32"/>
        </w:rPr>
      </w:pPr>
      <w:r>
        <w:rPr>
          <w:rFonts w:ascii="Segoe UI" w:hAnsi="Segoe UI" w:cs="Segoe UI"/>
          <w:i/>
          <w:color w:val="000000"/>
          <w:szCs w:val="32"/>
        </w:rPr>
        <w:t>c</w:t>
      </w:r>
      <w:r w:rsidR="00645C5C" w:rsidRPr="00396513">
        <w:rPr>
          <w:rFonts w:ascii="Segoe UI" w:hAnsi="Segoe UI" w:cs="Segoe UI"/>
          <w:i/>
          <w:color w:val="000000"/>
          <w:szCs w:val="32"/>
        </w:rPr>
        <w:t>learly defined target populations</w:t>
      </w:r>
      <w:r w:rsidR="00645C5C" w:rsidRPr="00396513">
        <w:rPr>
          <w:rFonts w:ascii="Segoe UI" w:hAnsi="Segoe UI" w:cs="Segoe UI"/>
          <w:color w:val="000000"/>
          <w:szCs w:val="32"/>
        </w:rPr>
        <w:t>, including the priority group(s) or the population expected to adopt and maintain the priority behaviors, and the influencing groups depicted in the socio-ecological model, such as partners, families, peers, leaders, service providers, private sector, nongovernmental organizations, and government representatives.</w:t>
      </w:r>
    </w:p>
    <w:p w14:paraId="163EBE0F" w14:textId="4A3741CD" w:rsidR="00645C5C" w:rsidRPr="00396513" w:rsidRDefault="00E678B8" w:rsidP="00C839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Cs w:val="32"/>
        </w:rPr>
      </w:pPr>
      <w:r>
        <w:rPr>
          <w:rFonts w:ascii="Segoe UI" w:hAnsi="Segoe UI" w:cs="Segoe UI"/>
          <w:i/>
          <w:color w:val="000000"/>
          <w:szCs w:val="32"/>
        </w:rPr>
        <w:t>a</w:t>
      </w:r>
      <w:r w:rsidR="00645C5C" w:rsidRPr="00396513">
        <w:rPr>
          <w:rFonts w:ascii="Segoe UI" w:hAnsi="Segoe UI" w:cs="Segoe UI"/>
          <w:i/>
          <w:color w:val="000000"/>
          <w:szCs w:val="32"/>
        </w:rPr>
        <w:t xml:space="preserve"> communication plan</w:t>
      </w:r>
      <w:r w:rsidR="00645C5C" w:rsidRPr="00396513">
        <w:rPr>
          <w:rFonts w:ascii="Segoe UI" w:hAnsi="Segoe UI" w:cs="Segoe UI"/>
          <w:color w:val="000000"/>
          <w:szCs w:val="32"/>
        </w:rPr>
        <w:t xml:space="preserve"> including a mix of strategies, channels, and delivery platforms and effective training resources, job aids, media, and materials for engaging the proposed target population(s). </w:t>
      </w:r>
    </w:p>
    <w:p w14:paraId="000E0FB5" w14:textId="77777777" w:rsidR="00645C5C" w:rsidRPr="00396513" w:rsidRDefault="00645C5C" w:rsidP="00C839A5">
      <w:pPr>
        <w:widowControl w:val="0"/>
        <w:autoSpaceDE w:val="0"/>
        <w:autoSpaceDN w:val="0"/>
        <w:adjustRightInd w:val="0"/>
        <w:spacing w:before="120" w:after="120" w:line="280" w:lineRule="atLeast"/>
        <w:ind w:left="960"/>
        <w:rPr>
          <w:rFonts w:ascii="Segoe UI" w:hAnsi="Segoe UI" w:cs="Segoe UI"/>
          <w:color w:val="000000"/>
          <w:sz w:val="20"/>
        </w:rPr>
      </w:pPr>
    </w:p>
    <w:p w14:paraId="367D4675" w14:textId="3CBBBD06" w:rsidR="00645C5C" w:rsidRPr="00396513" w:rsidRDefault="00645C5C" w:rsidP="003965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tLeast"/>
        <w:rPr>
          <w:rFonts w:ascii="Segoe UI" w:hAnsi="Segoe UI" w:cs="Segoe UI"/>
          <w:color w:val="000000"/>
          <w:sz w:val="20"/>
        </w:rPr>
      </w:pPr>
      <w:r w:rsidRPr="00396513">
        <w:rPr>
          <w:rFonts w:ascii="Segoe UI" w:hAnsi="Segoe UI" w:cs="Segoe UI"/>
          <w:b/>
          <w:color w:val="91993E" w:themeColor="accent1"/>
          <w:szCs w:val="32"/>
        </w:rPr>
        <w:t>Consider whether communication and non-communication activities are both being used to reduce barriers and build on enablers for action</w:t>
      </w:r>
      <w:r w:rsidRPr="00396513">
        <w:rPr>
          <w:rFonts w:ascii="Segoe UI" w:hAnsi="Segoe UI" w:cs="Segoe UI"/>
          <w:color w:val="91993E" w:themeColor="accent1"/>
          <w:szCs w:val="32"/>
        </w:rPr>
        <w:t xml:space="preserve">. </w:t>
      </w:r>
      <w:r w:rsidRPr="00396513">
        <w:rPr>
          <w:rFonts w:ascii="Segoe UI" w:hAnsi="Segoe UI" w:cs="Segoe UI"/>
          <w:color w:val="000000"/>
          <w:szCs w:val="32"/>
        </w:rPr>
        <w:t xml:space="preserve">Most effective SBCC strategies include a mix of communication and non-communication activities, such as— </w:t>
      </w:r>
    </w:p>
    <w:p w14:paraId="7F04B6B7" w14:textId="44E42486" w:rsidR="00645C5C" w:rsidRPr="00396513" w:rsidRDefault="00C3787B" w:rsidP="00C839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i</w:t>
      </w:r>
      <w:r w:rsidR="00645C5C" w:rsidRPr="00396513">
        <w:rPr>
          <w:rFonts w:ascii="Segoe UI" w:hAnsi="Segoe UI" w:cs="Segoe UI"/>
          <w:i/>
          <w:color w:val="000000"/>
          <w:szCs w:val="32"/>
        </w:rPr>
        <w:t>nterpersonal communication</w:t>
      </w:r>
      <w:r w:rsidR="00645C5C" w:rsidRPr="00396513">
        <w:rPr>
          <w:rFonts w:ascii="Segoe UI" w:hAnsi="Segoe UI" w:cs="Segoe UI"/>
          <w:color w:val="000000"/>
          <w:szCs w:val="32"/>
        </w:rPr>
        <w:t>, including—but not limited to—facility-based counseling, home visits, and support groups</w:t>
      </w:r>
    </w:p>
    <w:p w14:paraId="72E28B81" w14:textId="7F59F45B" w:rsidR="00645C5C" w:rsidRPr="00396513" w:rsidRDefault="00C3787B" w:rsidP="00C839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c</w:t>
      </w:r>
      <w:r w:rsidR="00645C5C" w:rsidRPr="00396513">
        <w:rPr>
          <w:rFonts w:ascii="Segoe UI" w:hAnsi="Segoe UI" w:cs="Segoe UI"/>
          <w:i/>
          <w:color w:val="000000"/>
          <w:szCs w:val="32"/>
        </w:rPr>
        <w:t>ommunity mobilization</w:t>
      </w:r>
      <w:r w:rsidR="00645C5C" w:rsidRPr="00396513">
        <w:rPr>
          <w:rFonts w:ascii="Segoe UI" w:hAnsi="Segoe UI" w:cs="Segoe UI"/>
          <w:color w:val="000000"/>
          <w:szCs w:val="32"/>
        </w:rPr>
        <w:t xml:space="preserve">, including fairs, contests, and dialogues, as well as community radio and video production and dissemination events </w:t>
      </w:r>
    </w:p>
    <w:p w14:paraId="780ECBF8" w14:textId="3900326E" w:rsidR="00645C5C" w:rsidRPr="00396513" w:rsidRDefault="00C3787B" w:rsidP="00C839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s</w:t>
      </w:r>
      <w:r w:rsidR="00645C5C" w:rsidRPr="00396513">
        <w:rPr>
          <w:rFonts w:ascii="Segoe UI" w:hAnsi="Segoe UI" w:cs="Segoe UI"/>
          <w:i/>
          <w:color w:val="000000"/>
          <w:szCs w:val="32"/>
        </w:rPr>
        <w:t>ocial marketing</w:t>
      </w:r>
      <w:r w:rsidR="00645C5C" w:rsidRPr="00396513">
        <w:rPr>
          <w:rFonts w:ascii="Segoe UI" w:hAnsi="Segoe UI" w:cs="Segoe UI"/>
          <w:color w:val="000000"/>
          <w:szCs w:val="32"/>
        </w:rPr>
        <w:t xml:space="preserve"> of technologies or commodities (e.g., home water treatment or fortified foods) </w:t>
      </w:r>
    </w:p>
    <w:p w14:paraId="6AB3EFE3" w14:textId="0531D9C0" w:rsidR="00645C5C" w:rsidRPr="00396513" w:rsidRDefault="00C3787B" w:rsidP="00C839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m</w:t>
      </w:r>
      <w:r w:rsidR="00645C5C" w:rsidRPr="00396513">
        <w:rPr>
          <w:rFonts w:ascii="Segoe UI" w:hAnsi="Segoe UI" w:cs="Segoe UI"/>
          <w:i/>
          <w:color w:val="000000"/>
          <w:szCs w:val="32"/>
        </w:rPr>
        <w:t>ass media campaigns</w:t>
      </w:r>
      <w:r w:rsidR="00645C5C" w:rsidRPr="00396513">
        <w:rPr>
          <w:rFonts w:ascii="Segoe UI" w:hAnsi="Segoe UI" w:cs="Segoe UI"/>
          <w:color w:val="000000"/>
          <w:szCs w:val="32"/>
        </w:rPr>
        <w:t xml:space="preserve"> (e.g., television dramas, radio broadcasts) </w:t>
      </w:r>
    </w:p>
    <w:p w14:paraId="1406CEFA" w14:textId="647B496E" w:rsidR="00645C5C" w:rsidRPr="00396513" w:rsidRDefault="00C3787B" w:rsidP="00C839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s</w:t>
      </w:r>
      <w:r w:rsidR="00645C5C" w:rsidRPr="00396513">
        <w:rPr>
          <w:rFonts w:ascii="Segoe UI" w:hAnsi="Segoe UI" w:cs="Segoe UI"/>
          <w:i/>
          <w:color w:val="000000"/>
          <w:szCs w:val="32"/>
        </w:rPr>
        <w:t>ystems strengthening</w:t>
      </w:r>
      <w:r w:rsidR="00645C5C" w:rsidRPr="00396513">
        <w:rPr>
          <w:rFonts w:ascii="Segoe UI" w:hAnsi="Segoe UI" w:cs="Segoe UI"/>
          <w:color w:val="000000"/>
          <w:szCs w:val="32"/>
        </w:rPr>
        <w:t>—improving access to and quality of goods and services (e.g., training of health workers on improved nutrition counseling skills and behaviors)</w:t>
      </w:r>
    </w:p>
    <w:p w14:paraId="643F1BCB" w14:textId="68BCE104" w:rsidR="00645C5C" w:rsidRPr="00396513" w:rsidRDefault="009271CC" w:rsidP="00C839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b</w:t>
      </w:r>
      <w:r w:rsidR="00645C5C" w:rsidRPr="00396513">
        <w:rPr>
          <w:rFonts w:ascii="Segoe UI" w:hAnsi="Segoe UI" w:cs="Segoe UI"/>
          <w:i/>
          <w:color w:val="000000"/>
          <w:szCs w:val="32"/>
        </w:rPr>
        <w:t>ehavioral economics</w:t>
      </w:r>
      <w:r w:rsidR="00645C5C" w:rsidRPr="00396513">
        <w:rPr>
          <w:rFonts w:ascii="Segoe UI" w:hAnsi="Segoe UI" w:cs="Segoe UI"/>
          <w:color w:val="000000"/>
          <w:szCs w:val="32"/>
        </w:rPr>
        <w:t>—using conscious and unconscious factors that drive decisions and actions to make optimal behaviors easy and desirable</w:t>
      </w:r>
    </w:p>
    <w:p w14:paraId="641A25D1" w14:textId="31115169" w:rsidR="00645C5C" w:rsidRPr="00396513" w:rsidRDefault="009271CC" w:rsidP="00C839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c</w:t>
      </w:r>
      <w:r w:rsidR="00645C5C" w:rsidRPr="00396513">
        <w:rPr>
          <w:rFonts w:ascii="Segoe UI" w:hAnsi="Segoe UI" w:cs="Segoe UI"/>
          <w:i/>
          <w:color w:val="000000"/>
          <w:szCs w:val="32"/>
        </w:rPr>
        <w:t>reating social, policy, or financial incentives or disincentives</w:t>
      </w:r>
      <w:r w:rsidR="00645C5C" w:rsidRPr="00396513">
        <w:rPr>
          <w:rFonts w:ascii="Segoe UI" w:hAnsi="Segoe UI" w:cs="Segoe UI"/>
          <w:color w:val="000000"/>
          <w:szCs w:val="32"/>
        </w:rPr>
        <w:t xml:space="preserve"> to behavior change</w:t>
      </w:r>
    </w:p>
    <w:p w14:paraId="20F6E12B" w14:textId="7182AA6E" w:rsidR="00645C5C" w:rsidRPr="00396513" w:rsidRDefault="009271CC" w:rsidP="00C839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tLeast"/>
        <w:contextualSpacing w:val="0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i/>
          <w:color w:val="000000"/>
          <w:szCs w:val="32"/>
        </w:rPr>
        <w:t>a</w:t>
      </w:r>
      <w:r w:rsidR="00645C5C" w:rsidRPr="00396513">
        <w:rPr>
          <w:rFonts w:ascii="Segoe UI" w:hAnsi="Segoe UI" w:cs="Segoe UI"/>
          <w:i/>
          <w:color w:val="000000"/>
          <w:szCs w:val="32"/>
        </w:rPr>
        <w:t>dvocacy</w:t>
      </w:r>
      <w:r w:rsidR="00645C5C" w:rsidRPr="00396513">
        <w:rPr>
          <w:rFonts w:ascii="Segoe UI" w:hAnsi="Segoe UI" w:cs="Segoe UI"/>
          <w:color w:val="000000"/>
          <w:szCs w:val="32"/>
        </w:rPr>
        <w:t xml:space="preserve"> conducted at the community level, up to the national level, among d</w:t>
      </w:r>
      <w:r w:rsidR="00C839A5" w:rsidRPr="00396513">
        <w:rPr>
          <w:rFonts w:ascii="Segoe UI" w:hAnsi="Segoe UI" w:cs="Segoe UI"/>
          <w:color w:val="000000"/>
          <w:szCs w:val="32"/>
        </w:rPr>
        <w:t>ecision</w:t>
      </w:r>
      <w:r>
        <w:rPr>
          <w:rFonts w:ascii="Segoe UI" w:hAnsi="Segoe UI" w:cs="Segoe UI"/>
          <w:color w:val="000000"/>
          <w:szCs w:val="32"/>
        </w:rPr>
        <w:t xml:space="preserve"> </w:t>
      </w:r>
      <w:r w:rsidR="00C839A5" w:rsidRPr="00396513">
        <w:rPr>
          <w:rFonts w:ascii="Segoe UI" w:hAnsi="Segoe UI" w:cs="Segoe UI"/>
          <w:color w:val="000000"/>
          <w:szCs w:val="32"/>
        </w:rPr>
        <w:t>makers and policymakers</w:t>
      </w:r>
    </w:p>
    <w:sectPr w:rsidR="00645C5C" w:rsidRPr="00396513" w:rsidSect="00BC1F1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A4EA0" w14:textId="77777777" w:rsidR="00835837" w:rsidRDefault="00835837" w:rsidP="009009B3">
      <w:r>
        <w:separator/>
      </w:r>
    </w:p>
  </w:endnote>
  <w:endnote w:type="continuationSeparator" w:id="0">
    <w:p w14:paraId="07DAA07C" w14:textId="77777777" w:rsidR="00835837" w:rsidRDefault="00835837" w:rsidP="0090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772B" w14:textId="61AB5E67" w:rsidR="009009B3" w:rsidRDefault="009009B3">
    <w:pPr>
      <w:pStyle w:val="Footer"/>
    </w:pPr>
    <w:r w:rsidRPr="006C06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F3586" wp14:editId="01871637">
              <wp:simplePos x="0" y="0"/>
              <wp:positionH relativeFrom="column">
                <wp:posOffset>1193800</wp:posOffset>
              </wp:positionH>
              <wp:positionV relativeFrom="paragraph">
                <wp:posOffset>-291465</wp:posOffset>
              </wp:positionV>
              <wp:extent cx="4011930" cy="8521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930" cy="852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48B86" w14:textId="77777777" w:rsidR="009009B3" w:rsidRPr="006C06CB" w:rsidRDefault="009009B3" w:rsidP="009009B3">
                          <w:pPr>
                            <w:shd w:val="clear" w:color="auto" w:fill="FFFFFF"/>
                            <w:rPr>
                              <w:rFonts w:ascii="Segoe UI" w:eastAsia="Times New Roman" w:hAnsi="Segoe UI" w:cs="Segoe UI"/>
                              <w:color w:val="222222"/>
                              <w:sz w:val="16"/>
                              <w:szCs w:val="16"/>
                            </w:rPr>
                          </w:pPr>
                          <w:r w:rsidRPr="006C06CB">
                            <w:rPr>
                              <w:rFonts w:ascii="Segoe UI" w:eastAsia="Times New Roman" w:hAnsi="Segoe UI" w:cs="Segoe UI"/>
                              <w:color w:val="222222"/>
                              <w:sz w:val="16"/>
                              <w:szCs w:val="16"/>
                            </w:rPr>
                            <w:t>This handout accompanies the </w:t>
                          </w:r>
                          <w:r w:rsidRPr="006C06CB">
                            <w:rPr>
                              <w:rFonts w:ascii="Segoe UI" w:eastAsia="Times New Roman" w:hAnsi="Segoe UI" w:cs="Segoe UI"/>
                              <w:i/>
                              <w:iCs/>
                              <w:color w:val="222222"/>
                              <w:sz w:val="16"/>
                              <w:szCs w:val="16"/>
                            </w:rPr>
                            <w:t>Nutrition-Sensitive Agriculture Training Resource Package</w:t>
                          </w:r>
                          <w:r w:rsidRPr="006C06CB">
                            <w:rPr>
                              <w:rFonts w:ascii="Segoe UI" w:eastAsia="Times New Roman" w:hAnsi="Segoe UI" w:cs="Segoe UI"/>
                              <w:color w:val="222222"/>
                              <w:sz w:val="16"/>
                              <w:szCs w:val="16"/>
                            </w:rPr>
                            <w:t> developed by the USAID-funded Strengthening Partnerships, Results, and Innovations in Nutrition Globally (SPRING) project. All materials may be adapted for non-commercial purposes. Please credit the SPRING project at </w:t>
                          </w:r>
                          <w:hyperlink r:id="rId1" w:tgtFrame="_blank" w:history="1">
                            <w:r w:rsidRPr="006C06CB">
                              <w:rPr>
                                <w:rFonts w:ascii="Segoe UI" w:eastAsia="Times New Roman" w:hAnsi="Segoe UI" w:cs="Segoe UI"/>
                                <w:color w:val="1155CC"/>
                                <w:sz w:val="16"/>
                                <w:szCs w:val="16"/>
                                <w:u w:val="single"/>
                              </w:rPr>
                              <w:t>https://www.spring-nutrition.org/</w:t>
                            </w:r>
                          </w:hyperlink>
                          <w:r w:rsidRPr="006C06CB">
                            <w:rPr>
                              <w:rFonts w:ascii="Segoe UI" w:eastAsia="Times New Roman" w:hAnsi="Segoe UI" w:cs="Segoe UI"/>
                              <w:color w:val="222222"/>
                              <w:sz w:val="16"/>
                              <w:szCs w:val="16"/>
                            </w:rPr>
                            <w:t>. 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pt;margin-top:-22.95pt;width:315.9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" filled="f" stroked="f">
              <v:textbox>
                <w:txbxContent>
                  <w:p w14:paraId="32948B86" w14:textId="77777777" w:rsidR="009009B3" w:rsidRPr="006C06CB" w:rsidRDefault="009009B3" w:rsidP="009009B3">
                    <w:pPr>
                      <w:shd w:val="clear" w:color="auto" w:fill="FFFFFF"/>
                      <w:rPr>
                        <w:rFonts w:ascii="Segoe UI" w:eastAsia="Times New Roman" w:hAnsi="Segoe UI" w:cs="Segoe UI"/>
                        <w:color w:val="222222"/>
                        <w:sz w:val="16"/>
                        <w:szCs w:val="16"/>
                      </w:rPr>
                    </w:pPr>
                    <w:r w:rsidRPr="006C06CB">
                      <w:rPr>
                        <w:rFonts w:ascii="Segoe UI" w:eastAsia="Times New Roman" w:hAnsi="Segoe UI" w:cs="Segoe UI"/>
                        <w:color w:val="222222"/>
                        <w:sz w:val="16"/>
                        <w:szCs w:val="16"/>
                      </w:rPr>
                      <w:t>This handout accompanies the </w:t>
                    </w:r>
                    <w:r w:rsidRPr="006C06CB">
                      <w:rPr>
                        <w:rFonts w:ascii="Segoe UI" w:eastAsia="Times New Roman" w:hAnsi="Segoe UI" w:cs="Segoe UI"/>
                        <w:i/>
                        <w:iCs/>
                        <w:color w:val="222222"/>
                        <w:sz w:val="16"/>
                        <w:szCs w:val="16"/>
                      </w:rPr>
                      <w:t>Nutrition-Sensitive Agriculture Training Resource Package</w:t>
                    </w:r>
                    <w:r w:rsidRPr="006C06CB">
                      <w:rPr>
                        <w:rFonts w:ascii="Segoe UI" w:eastAsia="Times New Roman" w:hAnsi="Segoe UI" w:cs="Segoe UI"/>
                        <w:color w:val="222222"/>
                        <w:sz w:val="16"/>
                        <w:szCs w:val="16"/>
                      </w:rPr>
                      <w:t> developed by the USAID-funded Strengthening Partnerships, Results, and Innovations in Nutrition Globally (SPRING) project. All materials may be adapted for non-commercial purposes. Please credit the SPRING project at </w:t>
                    </w:r>
                    <w:hyperlink r:id="rId2" w:tgtFrame="_blank" w:history="1">
                      <w:r w:rsidRPr="006C06CB">
                        <w:rPr>
                          <w:rFonts w:ascii="Segoe UI" w:eastAsia="Times New Roman" w:hAnsi="Segoe UI" w:cs="Segoe UI"/>
                          <w:color w:val="1155CC"/>
                          <w:sz w:val="16"/>
                          <w:szCs w:val="16"/>
                          <w:u w:val="single"/>
                        </w:rPr>
                        <w:t>https://www.spring-nutrition.org/</w:t>
                      </w:r>
                    </w:hyperlink>
                    <w:r w:rsidRPr="006C06CB">
                      <w:rPr>
                        <w:rFonts w:ascii="Segoe UI" w:eastAsia="Times New Roman" w:hAnsi="Segoe UI" w:cs="Segoe UI"/>
                        <w:color w:val="222222"/>
                        <w:sz w:val="16"/>
                        <w:szCs w:val="16"/>
                      </w:rPr>
                      <w:t>. 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6EC6241" wp14:editId="182C1342">
          <wp:simplePos x="0" y="0"/>
          <wp:positionH relativeFrom="column">
            <wp:posOffset>5264150</wp:posOffset>
          </wp:positionH>
          <wp:positionV relativeFrom="paragraph">
            <wp:posOffset>-234950</wp:posOffset>
          </wp:positionV>
          <wp:extent cx="1127125" cy="438150"/>
          <wp:effectExtent l="0" t="0" r="0" b="0"/>
          <wp:wrapTight wrapText="bothSides">
            <wp:wrapPolygon edited="0">
              <wp:start x="0" y="0"/>
              <wp:lineTo x="0" y="20661"/>
              <wp:lineTo x="21174" y="20661"/>
              <wp:lineTo x="2117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ing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4B9B496" wp14:editId="06518C7C">
          <wp:simplePos x="0" y="0"/>
          <wp:positionH relativeFrom="column">
            <wp:posOffset>-368300</wp:posOffset>
          </wp:positionH>
          <wp:positionV relativeFrom="paragraph">
            <wp:posOffset>-260350</wp:posOffset>
          </wp:positionV>
          <wp:extent cx="1454150" cy="461010"/>
          <wp:effectExtent l="0" t="0" r="0" b="0"/>
          <wp:wrapTight wrapText="bothSides">
            <wp:wrapPolygon edited="0">
              <wp:start x="1981" y="0"/>
              <wp:lineTo x="0" y="2678"/>
              <wp:lineTo x="0" y="17851"/>
              <wp:lineTo x="1981" y="20529"/>
              <wp:lineTo x="4245" y="20529"/>
              <wp:lineTo x="21223" y="18744"/>
              <wp:lineTo x="21223" y="2678"/>
              <wp:lineTo x="4245" y="0"/>
              <wp:lineTo x="198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_logo_2016_(blue-hand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C17B" w14:textId="232147D8" w:rsidR="003D4575" w:rsidRDefault="003D4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DE3E" w14:textId="77777777" w:rsidR="00835837" w:rsidRDefault="00835837" w:rsidP="009009B3">
      <w:r>
        <w:separator/>
      </w:r>
    </w:p>
  </w:footnote>
  <w:footnote w:type="continuationSeparator" w:id="0">
    <w:p w14:paraId="045541A2" w14:textId="77777777" w:rsidR="00835837" w:rsidRDefault="00835837" w:rsidP="0090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BDF"/>
    <w:multiLevelType w:val="hybridMultilevel"/>
    <w:tmpl w:val="5E9AA1E6"/>
    <w:lvl w:ilvl="0" w:tplc="E87801D6">
      <w:start w:val="1"/>
      <w:numFmt w:val="decimal"/>
      <w:lvlText w:val="%1."/>
      <w:lvlJc w:val="left"/>
      <w:pPr>
        <w:ind w:left="720" w:hanging="360"/>
      </w:pPr>
      <w:rPr>
        <w:b/>
        <w:color w:val="91993E" w:themeColor="accent1"/>
        <w:sz w:val="24"/>
      </w:rPr>
    </w:lvl>
    <w:lvl w:ilvl="1" w:tplc="7700AFF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2B57"/>
    <w:multiLevelType w:val="hybridMultilevel"/>
    <w:tmpl w:val="C21C2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646F6"/>
    <w:multiLevelType w:val="hybridMultilevel"/>
    <w:tmpl w:val="52283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4B4B4E"/>
    <w:multiLevelType w:val="hybridMultilevel"/>
    <w:tmpl w:val="4C8AC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yann Hamid">
    <w15:presenceInfo w15:providerId="None" w15:userId="Bayann Ham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C"/>
    <w:rsid w:val="000078B1"/>
    <w:rsid w:val="00034847"/>
    <w:rsid w:val="00037165"/>
    <w:rsid w:val="000513DC"/>
    <w:rsid w:val="0005652C"/>
    <w:rsid w:val="00057C62"/>
    <w:rsid w:val="00060F58"/>
    <w:rsid w:val="00080D59"/>
    <w:rsid w:val="00081823"/>
    <w:rsid w:val="000B03AB"/>
    <w:rsid w:val="000B7D90"/>
    <w:rsid w:val="000C47A5"/>
    <w:rsid w:val="000C6D75"/>
    <w:rsid w:val="000E7AE4"/>
    <w:rsid w:val="000F7305"/>
    <w:rsid w:val="00101390"/>
    <w:rsid w:val="00103348"/>
    <w:rsid w:val="001073CE"/>
    <w:rsid w:val="001276A8"/>
    <w:rsid w:val="001479B1"/>
    <w:rsid w:val="001700F9"/>
    <w:rsid w:val="00171A40"/>
    <w:rsid w:val="0018006C"/>
    <w:rsid w:val="001B4BA1"/>
    <w:rsid w:val="001E6E0D"/>
    <w:rsid w:val="001F1F35"/>
    <w:rsid w:val="00212321"/>
    <w:rsid w:val="00247AD3"/>
    <w:rsid w:val="0029224D"/>
    <w:rsid w:val="00295956"/>
    <w:rsid w:val="002B7E13"/>
    <w:rsid w:val="002E3692"/>
    <w:rsid w:val="002E4DEB"/>
    <w:rsid w:val="002F1894"/>
    <w:rsid w:val="00306735"/>
    <w:rsid w:val="00321114"/>
    <w:rsid w:val="00346F7C"/>
    <w:rsid w:val="0034756B"/>
    <w:rsid w:val="003857F1"/>
    <w:rsid w:val="00385B1B"/>
    <w:rsid w:val="00393FAF"/>
    <w:rsid w:val="00395436"/>
    <w:rsid w:val="00395791"/>
    <w:rsid w:val="00396513"/>
    <w:rsid w:val="003B48FF"/>
    <w:rsid w:val="003D4575"/>
    <w:rsid w:val="003E1874"/>
    <w:rsid w:val="003F20DA"/>
    <w:rsid w:val="003F71CB"/>
    <w:rsid w:val="003F78E4"/>
    <w:rsid w:val="003F7DF5"/>
    <w:rsid w:val="00406B66"/>
    <w:rsid w:val="004147C3"/>
    <w:rsid w:val="00415FDC"/>
    <w:rsid w:val="00420831"/>
    <w:rsid w:val="00431A1D"/>
    <w:rsid w:val="00437BA6"/>
    <w:rsid w:val="0045098A"/>
    <w:rsid w:val="004830D2"/>
    <w:rsid w:val="004A0723"/>
    <w:rsid w:val="004D3BCA"/>
    <w:rsid w:val="004E6BA5"/>
    <w:rsid w:val="00517746"/>
    <w:rsid w:val="005265C8"/>
    <w:rsid w:val="0052662F"/>
    <w:rsid w:val="00530DD0"/>
    <w:rsid w:val="00555A6F"/>
    <w:rsid w:val="005577E6"/>
    <w:rsid w:val="005A1773"/>
    <w:rsid w:val="005B6D80"/>
    <w:rsid w:val="005E2531"/>
    <w:rsid w:val="005E4D4B"/>
    <w:rsid w:val="005E756B"/>
    <w:rsid w:val="00622F05"/>
    <w:rsid w:val="0063544C"/>
    <w:rsid w:val="00636909"/>
    <w:rsid w:val="00636E6A"/>
    <w:rsid w:val="00645C5C"/>
    <w:rsid w:val="0064760A"/>
    <w:rsid w:val="00647DE9"/>
    <w:rsid w:val="00661114"/>
    <w:rsid w:val="00676E9F"/>
    <w:rsid w:val="006A6829"/>
    <w:rsid w:val="006C312D"/>
    <w:rsid w:val="006E1AF3"/>
    <w:rsid w:val="006E7C0E"/>
    <w:rsid w:val="006E7E00"/>
    <w:rsid w:val="006F2A0E"/>
    <w:rsid w:val="006F6EE8"/>
    <w:rsid w:val="007009ED"/>
    <w:rsid w:val="00716FD6"/>
    <w:rsid w:val="00724E20"/>
    <w:rsid w:val="00754538"/>
    <w:rsid w:val="00755F09"/>
    <w:rsid w:val="00763737"/>
    <w:rsid w:val="0079102C"/>
    <w:rsid w:val="007B40CD"/>
    <w:rsid w:val="007C7C5A"/>
    <w:rsid w:val="007F6329"/>
    <w:rsid w:val="0081723E"/>
    <w:rsid w:val="0082047F"/>
    <w:rsid w:val="00822F14"/>
    <w:rsid w:val="00824A8B"/>
    <w:rsid w:val="00835837"/>
    <w:rsid w:val="008510FA"/>
    <w:rsid w:val="0086081F"/>
    <w:rsid w:val="00863342"/>
    <w:rsid w:val="00883429"/>
    <w:rsid w:val="008A62F4"/>
    <w:rsid w:val="008B03F5"/>
    <w:rsid w:val="008B5446"/>
    <w:rsid w:val="008C457E"/>
    <w:rsid w:val="008D0146"/>
    <w:rsid w:val="008D134D"/>
    <w:rsid w:val="008E7641"/>
    <w:rsid w:val="008F0C64"/>
    <w:rsid w:val="008F1E5E"/>
    <w:rsid w:val="008F48A2"/>
    <w:rsid w:val="009009B3"/>
    <w:rsid w:val="00901A19"/>
    <w:rsid w:val="009271CC"/>
    <w:rsid w:val="00940B52"/>
    <w:rsid w:val="00954582"/>
    <w:rsid w:val="00977666"/>
    <w:rsid w:val="009800EE"/>
    <w:rsid w:val="009A4719"/>
    <w:rsid w:val="009A4954"/>
    <w:rsid w:val="009A76E6"/>
    <w:rsid w:val="009D6504"/>
    <w:rsid w:val="009E0D8E"/>
    <w:rsid w:val="009F5371"/>
    <w:rsid w:val="00A62B84"/>
    <w:rsid w:val="00A64D6F"/>
    <w:rsid w:val="00A72627"/>
    <w:rsid w:val="00A7489D"/>
    <w:rsid w:val="00A8105E"/>
    <w:rsid w:val="00A82162"/>
    <w:rsid w:val="00A8223E"/>
    <w:rsid w:val="00A871C5"/>
    <w:rsid w:val="00AA1968"/>
    <w:rsid w:val="00AA5C5D"/>
    <w:rsid w:val="00AB0528"/>
    <w:rsid w:val="00AD2A77"/>
    <w:rsid w:val="00AD2BE8"/>
    <w:rsid w:val="00AD2FEE"/>
    <w:rsid w:val="00AD4BBE"/>
    <w:rsid w:val="00AE31B3"/>
    <w:rsid w:val="00AF183E"/>
    <w:rsid w:val="00AF4000"/>
    <w:rsid w:val="00AF7E38"/>
    <w:rsid w:val="00B00581"/>
    <w:rsid w:val="00B01F8A"/>
    <w:rsid w:val="00B02106"/>
    <w:rsid w:val="00B13321"/>
    <w:rsid w:val="00B22E24"/>
    <w:rsid w:val="00B417DA"/>
    <w:rsid w:val="00B50B54"/>
    <w:rsid w:val="00B554D8"/>
    <w:rsid w:val="00B62F0D"/>
    <w:rsid w:val="00B84E87"/>
    <w:rsid w:val="00B97568"/>
    <w:rsid w:val="00BA750C"/>
    <w:rsid w:val="00BC1F10"/>
    <w:rsid w:val="00BC58D7"/>
    <w:rsid w:val="00BC6978"/>
    <w:rsid w:val="00BC77D8"/>
    <w:rsid w:val="00BD2302"/>
    <w:rsid w:val="00BD4FA6"/>
    <w:rsid w:val="00BE0744"/>
    <w:rsid w:val="00BE2177"/>
    <w:rsid w:val="00C0020E"/>
    <w:rsid w:val="00C03542"/>
    <w:rsid w:val="00C141A3"/>
    <w:rsid w:val="00C15C8C"/>
    <w:rsid w:val="00C225E7"/>
    <w:rsid w:val="00C3787B"/>
    <w:rsid w:val="00C606B5"/>
    <w:rsid w:val="00C61E2D"/>
    <w:rsid w:val="00C839A5"/>
    <w:rsid w:val="00C857C3"/>
    <w:rsid w:val="00CA1034"/>
    <w:rsid w:val="00CB0755"/>
    <w:rsid w:val="00CD6A40"/>
    <w:rsid w:val="00CF214D"/>
    <w:rsid w:val="00D000CD"/>
    <w:rsid w:val="00D07066"/>
    <w:rsid w:val="00D145FB"/>
    <w:rsid w:val="00D15B7C"/>
    <w:rsid w:val="00D15C7E"/>
    <w:rsid w:val="00D3285F"/>
    <w:rsid w:val="00D659F0"/>
    <w:rsid w:val="00D857E3"/>
    <w:rsid w:val="00D85F04"/>
    <w:rsid w:val="00D90E76"/>
    <w:rsid w:val="00D94748"/>
    <w:rsid w:val="00DB2730"/>
    <w:rsid w:val="00DD0C4A"/>
    <w:rsid w:val="00DD251D"/>
    <w:rsid w:val="00DD2BB8"/>
    <w:rsid w:val="00DD3816"/>
    <w:rsid w:val="00DE4760"/>
    <w:rsid w:val="00DE6D12"/>
    <w:rsid w:val="00DF5745"/>
    <w:rsid w:val="00E259A6"/>
    <w:rsid w:val="00E40350"/>
    <w:rsid w:val="00E42F21"/>
    <w:rsid w:val="00E628CA"/>
    <w:rsid w:val="00E678B8"/>
    <w:rsid w:val="00E9739E"/>
    <w:rsid w:val="00EA3DAF"/>
    <w:rsid w:val="00ED69D3"/>
    <w:rsid w:val="00EE0AFB"/>
    <w:rsid w:val="00F15DFA"/>
    <w:rsid w:val="00F34AD4"/>
    <w:rsid w:val="00F430C0"/>
    <w:rsid w:val="00F67792"/>
    <w:rsid w:val="00F8361A"/>
    <w:rsid w:val="00FA0EF5"/>
    <w:rsid w:val="00FC49DE"/>
    <w:rsid w:val="00FC6FF6"/>
    <w:rsid w:val="00FF3497"/>
    <w:rsid w:val="00FF3C5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81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6513"/>
    <w:pPr>
      <w:pBdr>
        <w:bottom w:val="single" w:sz="8" w:space="4" w:color="91993E" w:themeColor="accent1"/>
      </w:pBdr>
      <w:spacing w:after="300"/>
      <w:contextualSpacing/>
    </w:pPr>
    <w:rPr>
      <w:rFonts w:asciiTheme="majorHAnsi" w:eastAsiaTheme="majorEastAsia" w:hAnsiTheme="majorHAnsi" w:cstheme="majorBidi"/>
      <w:color w:val="354B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513"/>
    <w:rPr>
      <w:rFonts w:asciiTheme="majorHAnsi" w:eastAsiaTheme="majorEastAsia" w:hAnsiTheme="majorHAnsi" w:cstheme="majorBidi"/>
      <w:color w:val="354B2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D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9B3"/>
  </w:style>
  <w:style w:type="paragraph" w:styleId="Footer">
    <w:name w:val="footer"/>
    <w:basedOn w:val="Normal"/>
    <w:link w:val="FooterChar"/>
    <w:uiPriority w:val="99"/>
    <w:unhideWhenUsed/>
    <w:rsid w:val="0090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6513"/>
    <w:pPr>
      <w:pBdr>
        <w:bottom w:val="single" w:sz="8" w:space="4" w:color="91993E" w:themeColor="accent1"/>
      </w:pBdr>
      <w:spacing w:after="300"/>
      <w:contextualSpacing/>
    </w:pPr>
    <w:rPr>
      <w:rFonts w:asciiTheme="majorHAnsi" w:eastAsiaTheme="majorEastAsia" w:hAnsiTheme="majorHAnsi" w:cstheme="majorBidi"/>
      <w:color w:val="354B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513"/>
    <w:rPr>
      <w:rFonts w:asciiTheme="majorHAnsi" w:eastAsiaTheme="majorEastAsia" w:hAnsiTheme="majorHAnsi" w:cstheme="majorBidi"/>
      <w:color w:val="354B2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D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9B3"/>
  </w:style>
  <w:style w:type="paragraph" w:styleId="Footer">
    <w:name w:val="footer"/>
    <w:basedOn w:val="Normal"/>
    <w:link w:val="FooterChar"/>
    <w:uiPriority w:val="99"/>
    <w:unhideWhenUsed/>
    <w:rsid w:val="0090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spring-nutrition.org/" TargetMode="External"/><Relationship Id="rId1" Type="http://schemas.openxmlformats.org/officeDocument/2006/relationships/hyperlink" Target="https://www.spring-nutrition.org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TF 2-pager theme">
  <a:themeElements>
    <a:clrScheme name="SPRING">
      <a:dk1>
        <a:sysClr val="windowText" lastClr="000000"/>
      </a:dk1>
      <a:lt1>
        <a:sysClr val="window" lastClr="FFFFFF"/>
      </a:lt1>
      <a:dk2>
        <a:srgbClr val="47652D"/>
      </a:dk2>
      <a:lt2>
        <a:srgbClr val="EEECE1"/>
      </a:lt2>
      <a:accent1>
        <a:srgbClr val="91993E"/>
      </a:accent1>
      <a:accent2>
        <a:srgbClr val="E28432"/>
      </a:accent2>
      <a:accent3>
        <a:srgbClr val="4297B4"/>
      </a:accent3>
      <a:accent4>
        <a:srgbClr val="BFBFBF"/>
      </a:accent4>
      <a:accent5>
        <a:srgbClr val="47652D"/>
      </a:accent5>
      <a:accent6>
        <a:srgbClr val="7F7F7F"/>
      </a:accent6>
      <a:hlink>
        <a:srgbClr val="91993E"/>
      </a:hlink>
      <a:folHlink>
        <a:srgbClr val="47652D"/>
      </a:folHlink>
    </a:clrScheme>
    <a:fontScheme name="SPRING Them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0C49-E7F2-40CE-B079-3ACFCF27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Process for Designing Social Behavior Change Strategies (February 2018)</dc:title>
  <dc:subject>Handout for session 6 of the Nutrition-Sensitive Agriculture Training Resource Package</dc:subject>
  <dc:creator>Feed the Future;USAID;SPRING</dc:creator>
  <cp:keywords>Feed the Future, USAID, SPRING, nutrition, agriculture, training</cp:keywords>
  <cp:lastModifiedBy>JSI</cp:lastModifiedBy>
  <cp:revision>3</cp:revision>
  <dcterms:created xsi:type="dcterms:W3CDTF">2018-03-16T18:14:00Z</dcterms:created>
  <dcterms:modified xsi:type="dcterms:W3CDTF">2018-04-03T14:04:00Z</dcterms:modified>
</cp:coreProperties>
</file>